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tbl>
      <w:tblPr>
        <w:tblStyle w:val="5"/>
        <w:tblpPr w:leftFromText="180" w:rightFromText="180" w:vertAnchor="page" w:horzAnchor="margin" w:tblpY="14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7" w:hRule="atLeast"/>
        </w:trPr>
        <w:tc>
          <w:tcPr>
            <w:tcW w:w="9648" w:type="dxa"/>
            <w:noWrap w:val="0"/>
            <w:vAlign w:val="top"/>
          </w:tcPr>
          <w:p>
            <w:pPr>
              <w:pStyle w:val="2"/>
              <w:rPr>
                <w:rFonts w:hint="eastAsia"/>
              </w:rPr>
            </w:pPr>
          </w:p>
          <w:p>
            <w:pPr>
              <w:spacing w:line="360" w:lineRule="exact"/>
              <w:ind w:firstLine="6440" w:firstLineChars="2300"/>
              <w:rPr>
                <w:rFonts w:hint="eastAsia" w:ascii="楷体_GB2312" w:hAnsi="Times New Roman" w:eastAsia="楷体_GB2312" w:cs="Times New Roman"/>
                <w:color w:val="000000"/>
                <w:kern w:val="0"/>
                <w:sz w:val="28"/>
                <w:szCs w:val="28"/>
              </w:rPr>
            </w:pPr>
            <w:r>
              <w:rPr>
                <w:rFonts w:hint="eastAsia" w:ascii="楷体_GB2312" w:hAnsi="Times New Roman" w:eastAsia="楷体_GB2312" w:cs="Times New Roman"/>
                <w:color w:val="000000"/>
                <w:kern w:val="0"/>
                <w:sz w:val="28"/>
                <w:szCs w:val="28"/>
              </w:rPr>
              <w:t>宛龙环审〔202</w:t>
            </w:r>
            <w:r>
              <w:rPr>
                <w:rFonts w:hint="eastAsia" w:ascii="楷体_GB2312" w:eastAsia="楷体_GB2312" w:cs="Times New Roman"/>
                <w:color w:val="000000"/>
                <w:kern w:val="0"/>
                <w:sz w:val="28"/>
                <w:szCs w:val="28"/>
                <w:lang w:val="en-US" w:eastAsia="zh-CN"/>
              </w:rPr>
              <w:t>5</w:t>
            </w:r>
            <w:r>
              <w:rPr>
                <w:rFonts w:hint="eastAsia" w:ascii="楷体_GB2312" w:hAnsi="Times New Roman" w:eastAsia="楷体_GB2312" w:cs="Times New Roman"/>
                <w:color w:val="000000"/>
                <w:kern w:val="0"/>
                <w:sz w:val="28"/>
                <w:szCs w:val="28"/>
              </w:rPr>
              <w:t>〕</w:t>
            </w:r>
            <w:r>
              <w:rPr>
                <w:rFonts w:hint="eastAsia" w:ascii="楷体_GB2312" w:eastAsia="楷体_GB2312" w:cs="Times New Roman"/>
                <w:color w:val="000000"/>
                <w:kern w:val="0"/>
                <w:sz w:val="28"/>
                <w:szCs w:val="28"/>
                <w:lang w:val="en-US" w:eastAsia="zh-CN"/>
              </w:rPr>
              <w:t>22</w:t>
            </w:r>
            <w:r>
              <w:rPr>
                <w:rFonts w:hint="eastAsia" w:ascii="楷体_GB2312" w:hAnsi="Times New Roman" w:eastAsia="楷体_GB2312" w:cs="Times New Roman"/>
                <w:color w:val="000000"/>
                <w:kern w:val="0"/>
                <w:sz w:val="28"/>
                <w:szCs w:val="28"/>
              </w:rPr>
              <w:t>号</w:t>
            </w:r>
          </w:p>
          <w:p>
            <w:pPr>
              <w:rPr>
                <w:rFonts w:hint="eastAsia"/>
              </w:rPr>
            </w:pPr>
          </w:p>
          <w:p>
            <w:pPr>
              <w:pStyle w:val="7"/>
              <w:spacing w:line="360" w:lineRule="exact"/>
              <w:jc w:val="center"/>
              <w:rPr>
                <w:rFonts w:hint="eastAsia" w:ascii="宋体" w:hAnsi="宋体" w:eastAsia="宋体" w:cs="Times New Roman"/>
                <w:b/>
                <w:color w:val="000000"/>
                <w:sz w:val="32"/>
                <w:szCs w:val="32"/>
              </w:rPr>
            </w:pPr>
            <w:r>
              <w:rPr>
                <w:rFonts w:hint="eastAsia" w:ascii="宋体" w:hAnsi="宋体" w:eastAsia="宋体" w:cs="Times New Roman"/>
                <w:b/>
                <w:color w:val="000000"/>
                <w:sz w:val="32"/>
                <w:szCs w:val="32"/>
              </w:rPr>
              <w:t>关于</w:t>
            </w:r>
            <w:r>
              <w:rPr>
                <w:rFonts w:hint="eastAsia" w:ascii="宋体" w:hAnsi="宋体" w:cs="Times New Roman"/>
                <w:b/>
                <w:color w:val="000000"/>
                <w:sz w:val="32"/>
                <w:szCs w:val="32"/>
                <w:lang w:eastAsia="zh-CN"/>
              </w:rPr>
              <w:t>河南远宏智能科技有限公司年产5000万平方米瓦楞纸箱数字化生产线建设项目</w:t>
            </w:r>
            <w:r>
              <w:rPr>
                <w:rFonts w:hint="eastAsia" w:ascii="宋体" w:hAnsi="宋体" w:eastAsia="宋体" w:cs="Times New Roman"/>
                <w:b/>
                <w:color w:val="000000"/>
                <w:sz w:val="32"/>
                <w:szCs w:val="32"/>
                <w:lang w:eastAsia="zh-CN"/>
              </w:rPr>
              <w:t>环境影响报告</w:t>
            </w:r>
            <w:r>
              <w:rPr>
                <w:rFonts w:hint="eastAsia" w:ascii="宋体" w:hAnsi="宋体" w:cs="Times New Roman"/>
                <w:b/>
                <w:color w:val="000000"/>
                <w:sz w:val="32"/>
                <w:szCs w:val="32"/>
                <w:lang w:eastAsia="zh-CN"/>
              </w:rPr>
              <w:t>表</w:t>
            </w:r>
            <w:r>
              <w:rPr>
                <w:rFonts w:hint="eastAsia" w:ascii="宋体" w:hAnsi="宋体" w:eastAsia="宋体" w:cs="Times New Roman"/>
                <w:b/>
                <w:color w:val="000000"/>
                <w:sz w:val="32"/>
                <w:szCs w:val="32"/>
              </w:rPr>
              <w:t>的批复意见</w:t>
            </w:r>
          </w:p>
          <w:p>
            <w:pPr>
              <w:rPr>
                <w:rFonts w:hint="eastAsia"/>
                <w:lang w:val="en-US" w:eastAsia="zh-CN"/>
              </w:rPr>
            </w:pPr>
          </w:p>
          <w:p>
            <w:pPr>
              <w:pStyle w:val="8"/>
              <w:keepNext w:val="0"/>
              <w:keepLines w:val="0"/>
              <w:pageBreakBefore w:val="0"/>
              <w:widowControl/>
              <w:kinsoku/>
              <w:wordWrap/>
              <w:overflowPunct/>
              <w:topLinePunct w:val="0"/>
              <w:autoSpaceDE/>
              <w:autoSpaceDN/>
              <w:bidi w:val="0"/>
              <w:adjustRightInd/>
              <w:snapToGrid/>
              <w:spacing w:line="280" w:lineRule="exact"/>
              <w:ind w:left="0" w:leftChars="0" w:right="0" w:rightChars="0" w:firstLine="556" w:firstLineChars="0"/>
              <w:jc w:val="left"/>
              <w:textAlignment w:val="auto"/>
              <w:outlineLvl w:val="9"/>
              <w:rPr>
                <w:rFonts w:hint="eastAsia" w:ascii="楷体" w:hAnsi="楷体" w:eastAsia="楷体" w:cs="楷体"/>
                <w:color w:val="000000"/>
                <w:sz w:val="28"/>
                <w:szCs w:val="28"/>
                <w:lang w:val="en-US" w:eastAsia="zh-CN"/>
              </w:rPr>
            </w:pPr>
            <w:r>
              <w:rPr>
                <w:rFonts w:hint="eastAsia" w:ascii="楷体" w:hAnsi="楷体" w:eastAsia="楷体" w:cs="楷体"/>
                <w:color w:val="000000"/>
                <w:sz w:val="28"/>
                <w:szCs w:val="28"/>
                <w:lang w:val="en-US" w:eastAsia="zh-CN"/>
              </w:rPr>
              <w:t>根据河南鸿祥环保科技有限公司编制的《河南远宏智能科技有限公司年产5000万平方米瓦楞纸箱数字化生产线建设项目环境影响报告表》（以下简称《报告表》)，经研究，现对《报告表》提出如下批复意见：</w:t>
            </w:r>
          </w:p>
          <w:p>
            <w:pPr>
              <w:pStyle w:val="8"/>
              <w:keepNext w:val="0"/>
              <w:keepLines w:val="0"/>
              <w:pageBreakBefore w:val="0"/>
              <w:widowControl/>
              <w:kinsoku/>
              <w:wordWrap/>
              <w:overflowPunct/>
              <w:topLinePunct w:val="0"/>
              <w:autoSpaceDE/>
              <w:autoSpaceDN/>
              <w:bidi w:val="0"/>
              <w:adjustRightInd/>
              <w:snapToGrid/>
              <w:spacing w:line="280" w:lineRule="exact"/>
              <w:ind w:left="0" w:leftChars="0" w:right="0" w:rightChars="0" w:firstLine="556" w:firstLineChars="0"/>
              <w:jc w:val="left"/>
              <w:textAlignment w:val="auto"/>
              <w:outlineLvl w:val="9"/>
              <w:rPr>
                <w:rFonts w:hint="eastAsia" w:ascii="楷体" w:hAnsi="楷体" w:eastAsia="楷体" w:cs="楷体"/>
                <w:color w:val="00000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eastAsia" w:ascii="楷体" w:hAnsi="楷体" w:eastAsia="楷体" w:cs="楷体"/>
                <w:color w:val="auto"/>
                <w:kern w:val="0"/>
                <w:sz w:val="28"/>
                <w:szCs w:val="28"/>
                <w:highlight w:val="none"/>
                <w:lang w:val="en-US" w:eastAsia="zh-CN" w:bidi="ar-SA"/>
              </w:rPr>
            </w:pPr>
            <w:r>
              <w:rPr>
                <w:rFonts w:hint="eastAsia" w:ascii="楷体" w:hAnsi="楷体" w:eastAsia="楷体" w:cs="楷体"/>
                <w:color w:val="000000"/>
                <w:kern w:val="0"/>
                <w:sz w:val="28"/>
                <w:szCs w:val="28"/>
                <w:highlight w:val="none"/>
                <w:lang w:val="en-US" w:eastAsia="zh-CN" w:bidi="ar-SA"/>
              </w:rPr>
              <w:t>一、</w:t>
            </w:r>
            <w:r>
              <w:rPr>
                <w:rFonts w:hint="eastAsia" w:ascii="楷体" w:hAnsi="楷体" w:eastAsia="楷体" w:cs="楷体"/>
                <w:color w:val="auto"/>
                <w:kern w:val="0"/>
                <w:sz w:val="28"/>
                <w:szCs w:val="28"/>
                <w:highlight w:val="none"/>
                <w:lang w:val="en-US" w:eastAsia="zh-CN" w:bidi="ar-SA"/>
              </w:rPr>
              <w:t>原则批准该项目《报告表》，建设单位可据此落实环保工程。</w:t>
            </w:r>
          </w:p>
          <w:p>
            <w:pPr>
              <w:keepNext w:val="0"/>
              <w:keepLines w:val="0"/>
              <w:pageBreakBefore w:val="0"/>
              <w:widowControl/>
              <w:kinsoku/>
              <w:wordWrap w:val="0"/>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eastAsia" w:ascii="楷体" w:hAnsi="楷体" w:eastAsia="楷体" w:cs="楷体"/>
                <w:color w:val="auto"/>
                <w:kern w:val="0"/>
                <w:sz w:val="28"/>
                <w:szCs w:val="28"/>
                <w:highlight w:val="none"/>
                <w:lang w:val="en-US" w:eastAsia="zh-CN" w:bidi="ar-SA"/>
              </w:rPr>
            </w:pPr>
            <w:r>
              <w:rPr>
                <w:rFonts w:hint="eastAsia" w:ascii="楷体" w:hAnsi="楷体" w:eastAsia="楷体" w:cs="楷体"/>
                <w:color w:val="auto"/>
                <w:kern w:val="0"/>
                <w:sz w:val="28"/>
                <w:szCs w:val="28"/>
                <w:highlight w:val="none"/>
                <w:lang w:val="en-US" w:eastAsia="zh-CN" w:bidi="ar-SA"/>
              </w:rPr>
              <w:t xml:space="preserve">二、严格落实大气污染防治措施，确保各类废气污染物达标排放，确保对周边环境的影响在可接受范围之内。项目有组织废气排放满足《印刷工业挥发性有机物排放标准》(DB </w:t>
            </w:r>
            <w:bookmarkStart w:id="0" w:name="_GoBack"/>
            <w:bookmarkEnd w:id="0"/>
            <w:r>
              <w:rPr>
                <w:rFonts w:hint="eastAsia" w:ascii="楷体" w:hAnsi="楷体" w:eastAsia="楷体" w:cs="楷体"/>
                <w:color w:val="auto"/>
                <w:kern w:val="0"/>
                <w:sz w:val="28"/>
                <w:szCs w:val="28"/>
                <w:highlight w:val="none"/>
                <w:lang w:val="en-US" w:eastAsia="zh-CN" w:bidi="ar-SA"/>
              </w:rPr>
              <w:t>41/1956-2020)要求；无组织废气排放满足《关于全省开展工业企业挥发性有机物专项治理工作中排放建议值的通知》（豫环攻坚办〔2017〕162号）及《重污染天气重点行业绩效分级及减排措施》（环办大气函〔2020〕340号）中监控点限值。严格执行《报告表》提出的项目防护距离相关要求。</w:t>
            </w:r>
          </w:p>
          <w:p>
            <w:pPr>
              <w:keepNext w:val="0"/>
              <w:keepLines w:val="0"/>
              <w:pageBreakBefore w:val="0"/>
              <w:widowControl/>
              <w:kinsoku/>
              <w:wordWrap w:val="0"/>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eastAsia" w:ascii="楷体" w:hAnsi="楷体" w:eastAsia="楷体" w:cs="楷体"/>
                <w:color w:val="000000"/>
                <w:kern w:val="0"/>
                <w:sz w:val="28"/>
                <w:szCs w:val="28"/>
                <w:highlight w:val="none"/>
                <w:lang w:val="en-US" w:eastAsia="zh-CN" w:bidi="ar-SA"/>
              </w:rPr>
            </w:pPr>
            <w:r>
              <w:rPr>
                <w:rFonts w:hint="eastAsia" w:ascii="楷体" w:hAnsi="楷体" w:eastAsia="楷体" w:cs="楷体"/>
                <w:color w:val="auto"/>
                <w:kern w:val="0"/>
                <w:sz w:val="28"/>
                <w:szCs w:val="28"/>
                <w:highlight w:val="none"/>
                <w:lang w:val="en-US" w:eastAsia="zh-CN" w:bidi="ar-SA"/>
              </w:rPr>
              <w:t>三、项目印刷机清洗废水经处理满足《城市污水再生利用 工业用水水质》（GB/T19923-2024）中洗涤用水标准后循环使用，其余清洗废水和生活污水经化粪池处理后排入王村污水处理厂，排放满足《污水综合排放标准》（GB 8978-1996）表4三级标准及王村污水厂进水水质标准。</w:t>
            </w:r>
          </w:p>
          <w:p>
            <w:pPr>
              <w:keepNext w:val="0"/>
              <w:keepLines w:val="0"/>
              <w:pageBreakBefore w:val="0"/>
              <w:widowControl/>
              <w:kinsoku/>
              <w:wordWrap/>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eastAsia" w:ascii="楷体" w:hAnsi="楷体" w:eastAsia="楷体" w:cs="楷体"/>
                <w:color w:val="0000FF"/>
                <w:kern w:val="0"/>
                <w:sz w:val="28"/>
                <w:szCs w:val="28"/>
                <w:highlight w:val="none"/>
                <w:lang w:val="en-US" w:eastAsia="zh-CN" w:bidi="ar-SA"/>
              </w:rPr>
            </w:pPr>
            <w:r>
              <w:rPr>
                <w:rFonts w:hint="eastAsia" w:ascii="楷体" w:hAnsi="楷体" w:eastAsia="楷体" w:cs="楷体"/>
                <w:color w:val="000000"/>
                <w:kern w:val="0"/>
                <w:sz w:val="28"/>
                <w:szCs w:val="28"/>
                <w:highlight w:val="none"/>
                <w:lang w:val="en-US" w:eastAsia="zh-CN" w:bidi="ar-SA"/>
              </w:rPr>
              <w:t>四、</w:t>
            </w:r>
            <w:r>
              <w:rPr>
                <w:rFonts w:hint="eastAsia" w:ascii="楷体" w:hAnsi="楷体" w:eastAsia="楷体" w:cs="楷体"/>
                <w:color w:val="auto"/>
                <w:kern w:val="0"/>
                <w:sz w:val="28"/>
                <w:szCs w:val="28"/>
                <w:highlight w:val="none"/>
                <w:lang w:val="en-US" w:eastAsia="zh-CN" w:bidi="ar-SA"/>
              </w:rPr>
              <w:t>严格落实噪声污染防治措施。施工期各阶段噪声满足《建筑施工厂界环境噪声排放标准》（GB12523-2011）；营运期厂界噪声满足《工业企业厂界环境噪声排放标准》（GB12348-2008）2类标准要求。</w:t>
            </w:r>
          </w:p>
          <w:p>
            <w:pPr>
              <w:keepNext w:val="0"/>
              <w:keepLines w:val="0"/>
              <w:pageBreakBefore w:val="0"/>
              <w:widowControl/>
              <w:kinsoku/>
              <w:wordWrap/>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default" w:ascii="楷体_GB2312" w:hAnsi="Times New Roman" w:eastAsia="楷体_GB2312" w:cs="Times New Roman"/>
                <w:color w:val="000000"/>
                <w:kern w:val="0"/>
                <w:sz w:val="28"/>
                <w:szCs w:val="28"/>
                <w:highlight w:val="none"/>
                <w:lang w:val="en-US" w:eastAsia="zh-CN" w:bidi="ar-SA"/>
              </w:rPr>
            </w:pPr>
            <w:r>
              <w:rPr>
                <w:rFonts w:hint="eastAsia" w:ascii="楷体_GB2312" w:hAnsi="Times New Roman" w:eastAsia="楷体_GB2312" w:cs="Times New Roman"/>
                <w:color w:val="000000"/>
                <w:kern w:val="0"/>
                <w:sz w:val="28"/>
                <w:szCs w:val="28"/>
                <w:highlight w:val="none"/>
                <w:lang w:val="en-US" w:eastAsia="zh-CN" w:bidi="ar-SA"/>
              </w:rPr>
              <w:t>五、</w:t>
            </w:r>
            <w:r>
              <w:rPr>
                <w:rFonts w:hint="default" w:ascii="楷体_GB2312" w:hAnsi="Times New Roman" w:eastAsia="楷体_GB2312" w:cs="Times New Roman"/>
                <w:color w:val="000000"/>
                <w:kern w:val="0"/>
                <w:sz w:val="28"/>
                <w:szCs w:val="28"/>
                <w:highlight w:val="none"/>
                <w:lang w:val="en-US" w:eastAsia="zh-CN" w:bidi="ar-SA"/>
              </w:rPr>
              <w:t>严格落实固体废物污染防治措施，项目产生的固体废物要全部依法依规进行收集、贮存、转运和无害化处置。一般固废贮存、处置须满足《一般工业固体废物贮存</w:t>
            </w:r>
            <w:r>
              <w:rPr>
                <w:rFonts w:hint="eastAsia" w:ascii="楷体_GB2312" w:hAnsi="Times New Roman" w:eastAsia="楷体_GB2312" w:cs="Times New Roman"/>
                <w:color w:val="000000"/>
                <w:kern w:val="0"/>
                <w:sz w:val="28"/>
                <w:szCs w:val="28"/>
                <w:highlight w:val="none"/>
                <w:lang w:val="en-US" w:eastAsia="zh-CN" w:bidi="ar-SA"/>
              </w:rPr>
              <w:t>和填埋污染控制标准</w:t>
            </w:r>
            <w:r>
              <w:rPr>
                <w:rFonts w:hint="default" w:ascii="楷体_GB2312" w:hAnsi="Times New Roman" w:eastAsia="楷体_GB2312" w:cs="Times New Roman"/>
                <w:color w:val="000000"/>
                <w:kern w:val="0"/>
                <w:sz w:val="28"/>
                <w:szCs w:val="28"/>
                <w:highlight w:val="none"/>
                <w:lang w:val="en-US" w:eastAsia="zh-CN" w:bidi="ar-SA"/>
              </w:rPr>
              <w:t>》（GB18599－20</w:t>
            </w:r>
            <w:r>
              <w:rPr>
                <w:rFonts w:hint="eastAsia" w:ascii="楷体_GB2312" w:hAnsi="Times New Roman" w:eastAsia="楷体_GB2312" w:cs="Times New Roman"/>
                <w:color w:val="000000"/>
                <w:kern w:val="0"/>
                <w:sz w:val="28"/>
                <w:szCs w:val="28"/>
                <w:highlight w:val="none"/>
                <w:lang w:val="en-US" w:eastAsia="zh-CN" w:bidi="ar-SA"/>
              </w:rPr>
              <w:t>20</w:t>
            </w:r>
            <w:r>
              <w:rPr>
                <w:rFonts w:hint="default" w:ascii="楷体_GB2312" w:hAnsi="Times New Roman" w:eastAsia="楷体_GB2312" w:cs="Times New Roman"/>
                <w:color w:val="000000"/>
                <w:kern w:val="0"/>
                <w:sz w:val="28"/>
                <w:szCs w:val="28"/>
                <w:highlight w:val="none"/>
                <w:lang w:val="en-US" w:eastAsia="zh-CN" w:bidi="ar-SA"/>
              </w:rPr>
              <w:t>）中相关要求。危险废物贮存要满足《危险废物贮存污染控制标准》（GB18597-2023）中相关要求，并依法依规交送有资质的单位进行处置。</w:t>
            </w:r>
          </w:p>
          <w:p>
            <w:pPr>
              <w:keepNext w:val="0"/>
              <w:keepLines w:val="0"/>
              <w:pageBreakBefore w:val="0"/>
              <w:widowControl/>
              <w:kinsoku/>
              <w:wordWrap/>
              <w:overflowPunct/>
              <w:topLinePunct w:val="0"/>
              <w:autoSpaceDE/>
              <w:autoSpaceDN/>
              <w:bidi w:val="0"/>
              <w:adjustRightInd/>
              <w:snapToGrid/>
              <w:spacing w:after="157" w:afterLines="50" w:line="300" w:lineRule="exact"/>
              <w:ind w:left="0" w:leftChars="0" w:right="0" w:rightChars="0" w:firstLine="560" w:firstLineChars="200"/>
              <w:jc w:val="left"/>
              <w:textAlignment w:val="auto"/>
              <w:outlineLvl w:val="9"/>
              <w:rPr>
                <w:rFonts w:hint="eastAsia" w:ascii="楷体_GB2312" w:hAnsi="Times New Roman" w:eastAsia="楷体_GB2312" w:cs="Times New Roman"/>
                <w:color w:val="000000"/>
                <w:kern w:val="0"/>
                <w:sz w:val="28"/>
                <w:szCs w:val="28"/>
                <w:highlight w:val="none"/>
                <w:lang w:val="en-US" w:eastAsia="zh-CN" w:bidi="ar-SA"/>
              </w:rPr>
            </w:pPr>
            <w:r>
              <w:rPr>
                <w:rFonts w:hint="eastAsia" w:ascii="楷体_GB2312" w:hAnsi="Times New Roman" w:eastAsia="楷体_GB2312" w:cs="Times New Roman"/>
                <w:color w:val="000000"/>
                <w:kern w:val="0"/>
                <w:sz w:val="28"/>
                <w:szCs w:val="28"/>
                <w:highlight w:val="none"/>
                <w:lang w:val="en-US" w:eastAsia="zh-CN" w:bidi="ar-SA"/>
              </w:rPr>
              <w:t>六、本项目环评文件审批后，项目的性质、规模、地点、采用的生产工艺或者防止污染、防止生态破坏的措施发生重大变动的，应当重新报批项目的环境影响评价文件；项目审批五年后方开工建设的，应重新报批该项目的环境影响评价文件。</w:t>
            </w:r>
          </w:p>
          <w:p>
            <w:pPr>
              <w:keepNext w:val="0"/>
              <w:keepLines w:val="0"/>
              <w:pageBreakBefore w:val="0"/>
              <w:widowControl/>
              <w:kinsoku/>
              <w:wordWrap/>
              <w:overflowPunct/>
              <w:topLinePunct w:val="0"/>
              <w:autoSpaceDE/>
              <w:autoSpaceDN/>
              <w:bidi w:val="0"/>
              <w:adjustRightInd/>
              <w:snapToGrid/>
              <w:spacing w:after="157" w:afterLines="50" w:line="300" w:lineRule="exact"/>
              <w:ind w:left="0" w:leftChars="0" w:right="0" w:rightChars="0" w:firstLine="556" w:firstLineChars="0"/>
              <w:jc w:val="left"/>
              <w:textAlignment w:val="auto"/>
              <w:outlineLvl w:val="9"/>
              <w:rPr>
                <w:rFonts w:hint="default" w:ascii="楷体_GB2312" w:hAnsi="Times New Roman" w:eastAsia="楷体_GB2312" w:cs="Times New Roman"/>
                <w:color w:val="000000"/>
                <w:kern w:val="0"/>
                <w:sz w:val="28"/>
                <w:szCs w:val="28"/>
                <w:lang w:val="en-US" w:eastAsia="zh-CN" w:bidi="ar-SA"/>
              </w:rPr>
            </w:pPr>
            <w:r>
              <w:rPr>
                <w:rFonts w:hint="eastAsia" w:ascii="楷体_GB2312" w:hAnsi="Times New Roman" w:eastAsia="楷体_GB2312" w:cs="Times New Roman"/>
                <w:color w:val="000000"/>
                <w:kern w:val="0"/>
                <w:sz w:val="28"/>
                <w:szCs w:val="28"/>
                <w:lang w:val="en-US" w:eastAsia="zh-CN" w:bidi="ar-SA"/>
              </w:rPr>
              <w:t>七、</w:t>
            </w:r>
            <w:r>
              <w:rPr>
                <w:rFonts w:hint="default" w:ascii="楷体_GB2312" w:hAnsi="Times New Roman" w:eastAsia="楷体_GB2312" w:cs="Times New Roman"/>
                <w:color w:val="000000"/>
                <w:kern w:val="0"/>
                <w:sz w:val="28"/>
                <w:szCs w:val="28"/>
                <w:lang w:val="en-US" w:eastAsia="zh-CN" w:bidi="ar-SA"/>
              </w:rPr>
              <w:t>项目建设和运行过程中须依法依规执行环保“三同时”、排污许可、竣工环保验收等各项环境管理制度。</w:t>
            </w:r>
          </w:p>
          <w:p>
            <w:pPr>
              <w:rPr>
                <w:rFonts w:hint="eastAsia"/>
                <w:lang w:val="en-US" w:eastAsia="zh-CN"/>
              </w:rPr>
            </w:pPr>
            <w:r>
              <w:rPr>
                <w:rFonts w:hint="eastAsia"/>
                <w:lang w:val="en-US" w:eastAsia="zh-CN"/>
              </w:rPr>
              <w:t xml:space="preserve">   </w:t>
            </w:r>
          </w:p>
          <w:p>
            <w:pPr>
              <w:pStyle w:val="8"/>
              <w:keepNext w:val="0"/>
              <w:keepLines w:val="0"/>
              <w:pageBreakBefore w:val="0"/>
              <w:widowControl/>
              <w:numPr>
                <w:ilvl w:val="0"/>
                <w:numId w:val="0"/>
              </w:numPr>
              <w:kinsoku/>
              <w:wordWrap/>
              <w:overflowPunct/>
              <w:topLinePunct w:val="0"/>
              <w:autoSpaceDE/>
              <w:autoSpaceDN/>
              <w:bidi w:val="0"/>
              <w:adjustRightInd/>
              <w:snapToGrid/>
              <w:spacing w:line="280" w:lineRule="exact"/>
              <w:ind w:left="556" w:leftChars="0" w:right="0" w:rightChars="0" w:firstLine="3080" w:firstLineChars="1100"/>
              <w:jc w:val="left"/>
              <w:textAlignment w:val="auto"/>
              <w:outlineLvl w:val="9"/>
              <w:rPr>
                <w:rFonts w:hint="eastAsia" w:ascii="楷体_GB2312" w:hAnsi="Times New Roman" w:eastAsia="楷体_GB2312" w:cs="Times New Roman"/>
                <w:color w:val="000000"/>
                <w:sz w:val="28"/>
                <w:szCs w:val="28"/>
                <w:lang w:val="en-US" w:eastAsia="zh-CN"/>
              </w:rPr>
            </w:pPr>
            <w:r>
              <w:rPr>
                <w:rFonts w:hint="eastAsia" w:ascii="楷体_GB2312" w:hAnsi="Times New Roman" w:eastAsia="楷体_GB2312" w:cs="Times New Roman"/>
                <w:color w:val="000000"/>
                <w:sz w:val="28"/>
                <w:szCs w:val="28"/>
                <w:lang w:val="en-US" w:eastAsia="zh-CN"/>
              </w:rPr>
              <w:t xml:space="preserve">                          </w:t>
            </w:r>
            <w:r>
              <w:rPr>
                <w:rFonts w:hint="eastAsia" w:ascii="楷体_GB2312" w:eastAsia="楷体_GB2312" w:cs="Times New Roman"/>
                <w:color w:val="000000"/>
                <w:sz w:val="28"/>
                <w:szCs w:val="28"/>
                <w:lang w:val="en-US" w:eastAsia="zh-CN"/>
              </w:rPr>
              <w:t xml:space="preserve"> </w:t>
            </w:r>
            <w:r>
              <w:rPr>
                <w:rFonts w:hint="eastAsia" w:ascii="楷体_GB2312" w:hAnsi="Times New Roman" w:eastAsia="楷体_GB2312" w:cs="Times New Roman"/>
                <w:color w:val="000000"/>
                <w:sz w:val="28"/>
                <w:szCs w:val="28"/>
                <w:lang w:val="en-US" w:eastAsia="zh-CN"/>
              </w:rPr>
              <w:t>（公  章）</w:t>
            </w:r>
            <w:r>
              <w:rPr>
                <w:rFonts w:hint="eastAsia" w:ascii="楷体_GB2312" w:eastAsia="楷体_GB2312" w:cs="Times New Roman"/>
                <w:color w:val="000000"/>
                <w:sz w:val="28"/>
                <w:szCs w:val="28"/>
                <w:lang w:val="en-US" w:eastAsia="zh-CN"/>
              </w:rPr>
              <w:t xml:space="preserve"> </w:t>
            </w:r>
            <w:r>
              <w:rPr>
                <w:rFonts w:hint="eastAsia" w:ascii="楷体_GB2312" w:hAnsi="Times New Roman" w:eastAsia="楷体_GB2312" w:cs="Times New Roman"/>
                <w:color w:val="000000"/>
                <w:sz w:val="28"/>
                <w:szCs w:val="28"/>
                <w:lang w:val="en-US" w:eastAsia="zh-CN"/>
              </w:rPr>
              <w:t xml:space="preserve"> </w:t>
            </w:r>
          </w:p>
          <w:p>
            <w:pPr>
              <w:pStyle w:val="8"/>
              <w:keepNext w:val="0"/>
              <w:keepLines w:val="0"/>
              <w:pageBreakBefore w:val="0"/>
              <w:widowControl/>
              <w:numPr>
                <w:ilvl w:val="0"/>
                <w:numId w:val="0"/>
              </w:numPr>
              <w:kinsoku/>
              <w:wordWrap/>
              <w:overflowPunct/>
              <w:topLinePunct w:val="0"/>
              <w:autoSpaceDE/>
              <w:autoSpaceDN/>
              <w:bidi w:val="0"/>
              <w:adjustRightInd/>
              <w:snapToGrid/>
              <w:spacing w:line="280" w:lineRule="exact"/>
              <w:ind w:left="556" w:leftChars="0" w:right="0" w:rightChars="0" w:firstLine="3080" w:firstLineChars="1100"/>
              <w:jc w:val="left"/>
              <w:textAlignment w:val="auto"/>
              <w:outlineLvl w:val="9"/>
              <w:rPr>
                <w:rFonts w:hint="eastAsia" w:ascii="楷体_GB2312" w:hAnsi="Times New Roman" w:eastAsia="楷体_GB2312" w:cs="Times New Roman"/>
                <w:color w:val="auto"/>
                <w:sz w:val="28"/>
                <w:szCs w:val="28"/>
                <w:highlight w:val="none"/>
                <w:lang w:val="en-US" w:eastAsia="zh-CN"/>
              </w:rPr>
            </w:pPr>
          </w:p>
          <w:p>
            <w:pPr>
              <w:pStyle w:val="8"/>
              <w:keepNext w:val="0"/>
              <w:keepLines w:val="0"/>
              <w:pageBreakBefore w:val="0"/>
              <w:widowControl/>
              <w:numPr>
                <w:ilvl w:val="0"/>
                <w:numId w:val="0"/>
              </w:numPr>
              <w:kinsoku/>
              <w:wordWrap/>
              <w:overflowPunct/>
              <w:topLinePunct w:val="0"/>
              <w:autoSpaceDE/>
              <w:autoSpaceDN/>
              <w:bidi w:val="0"/>
              <w:adjustRightInd/>
              <w:snapToGrid/>
              <w:spacing w:line="280" w:lineRule="exact"/>
              <w:ind w:left="556" w:leftChars="0" w:right="0" w:rightChars="0" w:firstLine="3080" w:firstLineChars="1100"/>
              <w:jc w:val="left"/>
              <w:textAlignment w:val="auto"/>
              <w:outlineLvl w:val="9"/>
              <w:rPr>
                <w:rFonts w:hint="eastAsia" w:ascii="楷体_GB2312" w:hAnsi="Times New Roman" w:eastAsia="楷体_GB2312" w:cs="Times New Roman"/>
                <w:color w:val="auto"/>
                <w:sz w:val="28"/>
                <w:szCs w:val="28"/>
                <w:highlight w:val="none"/>
                <w:shd w:val="clear"/>
                <w:lang w:val="en-US" w:eastAsia="zh-CN"/>
              </w:rPr>
            </w:pPr>
            <w:r>
              <w:rPr>
                <w:rFonts w:hint="eastAsia" w:ascii="楷体_GB2312" w:hAnsi="Times New Roman" w:eastAsia="楷体_GB2312" w:cs="Times New Roman"/>
                <w:color w:val="auto"/>
                <w:sz w:val="28"/>
                <w:szCs w:val="28"/>
                <w:highlight w:val="none"/>
                <w:lang w:val="en-US" w:eastAsia="zh-CN"/>
              </w:rPr>
              <w:t xml:space="preserve">                         202</w:t>
            </w:r>
            <w:r>
              <w:rPr>
                <w:rFonts w:hint="eastAsia" w:ascii="楷体_GB2312" w:eastAsia="楷体_GB2312" w:cs="Times New Roman"/>
                <w:color w:val="auto"/>
                <w:sz w:val="28"/>
                <w:szCs w:val="28"/>
                <w:highlight w:val="none"/>
                <w:lang w:val="en-US" w:eastAsia="zh-CN"/>
              </w:rPr>
              <w:t>5</w:t>
            </w:r>
            <w:r>
              <w:rPr>
                <w:rFonts w:hint="eastAsia" w:ascii="楷体_GB2312" w:hAnsi="Times New Roman" w:eastAsia="楷体_GB2312" w:cs="Times New Roman"/>
                <w:color w:val="auto"/>
                <w:sz w:val="28"/>
                <w:szCs w:val="28"/>
                <w:highlight w:val="none"/>
                <w:lang w:val="en-US" w:eastAsia="zh-CN"/>
              </w:rPr>
              <w:t>年</w:t>
            </w:r>
            <w:r>
              <w:rPr>
                <w:rFonts w:hint="eastAsia" w:ascii="楷体_GB2312" w:eastAsia="楷体_GB2312" w:cs="Times New Roman"/>
                <w:color w:val="auto"/>
                <w:sz w:val="28"/>
                <w:szCs w:val="28"/>
                <w:highlight w:val="none"/>
                <w:lang w:val="en-US" w:eastAsia="zh-CN"/>
              </w:rPr>
              <w:t>11</w:t>
            </w:r>
            <w:r>
              <w:rPr>
                <w:rFonts w:hint="eastAsia" w:ascii="楷体_GB2312" w:hAnsi="Times New Roman" w:eastAsia="楷体_GB2312" w:cs="Times New Roman"/>
                <w:color w:val="auto"/>
                <w:sz w:val="28"/>
                <w:szCs w:val="28"/>
                <w:highlight w:val="none"/>
                <w:lang w:val="en-US" w:eastAsia="zh-CN"/>
              </w:rPr>
              <w:t>月</w:t>
            </w:r>
            <w:r>
              <w:rPr>
                <w:rFonts w:hint="eastAsia" w:ascii="楷体_GB2312" w:eastAsia="楷体_GB2312" w:cs="Times New Roman"/>
                <w:color w:val="auto"/>
                <w:sz w:val="28"/>
                <w:szCs w:val="28"/>
                <w:highlight w:val="none"/>
                <w:lang w:val="en-US" w:eastAsia="zh-CN"/>
              </w:rPr>
              <w:t>25</w:t>
            </w:r>
            <w:r>
              <w:rPr>
                <w:rFonts w:hint="eastAsia" w:ascii="楷体_GB2312" w:hAnsi="Times New Roman" w:eastAsia="楷体_GB2312" w:cs="Times New Roman"/>
                <w:color w:val="auto"/>
                <w:sz w:val="28"/>
                <w:szCs w:val="28"/>
                <w:highlight w:val="none"/>
                <w:lang w:val="en-US" w:eastAsia="zh-CN"/>
              </w:rPr>
              <w:t>日</w:t>
            </w:r>
          </w:p>
          <w:p>
            <w:pPr>
              <w:rPr>
                <w:rFonts w:hint="eastAsia"/>
              </w:rPr>
            </w:pPr>
          </w:p>
        </w:tc>
      </w:tr>
    </w:tbl>
    <w:p/>
    <w:sectPr>
      <w:pgSz w:w="11906" w:h="16838"/>
      <w:pgMar w:top="1287" w:right="720" w:bottom="720" w:left="12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5302F"/>
    <w:rsid w:val="00C43AA3"/>
    <w:rsid w:val="020A25C5"/>
    <w:rsid w:val="023B3877"/>
    <w:rsid w:val="02525BC3"/>
    <w:rsid w:val="02A71194"/>
    <w:rsid w:val="031E6B46"/>
    <w:rsid w:val="04010AAB"/>
    <w:rsid w:val="054D6435"/>
    <w:rsid w:val="06E47D60"/>
    <w:rsid w:val="070B64B1"/>
    <w:rsid w:val="0B0C17C6"/>
    <w:rsid w:val="0F15111F"/>
    <w:rsid w:val="1135302F"/>
    <w:rsid w:val="11601C38"/>
    <w:rsid w:val="13D20DBF"/>
    <w:rsid w:val="155511AA"/>
    <w:rsid w:val="16122649"/>
    <w:rsid w:val="1616120D"/>
    <w:rsid w:val="18054687"/>
    <w:rsid w:val="18D10954"/>
    <w:rsid w:val="19530A09"/>
    <w:rsid w:val="1D173611"/>
    <w:rsid w:val="1D7B0691"/>
    <w:rsid w:val="1E147E5E"/>
    <w:rsid w:val="211F34E2"/>
    <w:rsid w:val="214503DB"/>
    <w:rsid w:val="222323E7"/>
    <w:rsid w:val="24E9401B"/>
    <w:rsid w:val="29EE2076"/>
    <w:rsid w:val="2A3D5D39"/>
    <w:rsid w:val="2BC8310F"/>
    <w:rsid w:val="2C640E09"/>
    <w:rsid w:val="2CD65158"/>
    <w:rsid w:val="3132147A"/>
    <w:rsid w:val="319365BA"/>
    <w:rsid w:val="31C756C5"/>
    <w:rsid w:val="3259581B"/>
    <w:rsid w:val="327455D0"/>
    <w:rsid w:val="33E13F44"/>
    <w:rsid w:val="34B57B10"/>
    <w:rsid w:val="36E27362"/>
    <w:rsid w:val="3D17631C"/>
    <w:rsid w:val="3D9974C4"/>
    <w:rsid w:val="3E6278AD"/>
    <w:rsid w:val="3FC17147"/>
    <w:rsid w:val="41BF7B73"/>
    <w:rsid w:val="43544FA2"/>
    <w:rsid w:val="46B97555"/>
    <w:rsid w:val="4CAD1F1D"/>
    <w:rsid w:val="4E3C13BF"/>
    <w:rsid w:val="4EAF205C"/>
    <w:rsid w:val="53974A6D"/>
    <w:rsid w:val="57CC10AA"/>
    <w:rsid w:val="5D026E4B"/>
    <w:rsid w:val="5D8C06C5"/>
    <w:rsid w:val="5E181B6A"/>
    <w:rsid w:val="5EB07CB7"/>
    <w:rsid w:val="5F485420"/>
    <w:rsid w:val="5F7018CE"/>
    <w:rsid w:val="624523B6"/>
    <w:rsid w:val="63184C31"/>
    <w:rsid w:val="632149C6"/>
    <w:rsid w:val="632C2156"/>
    <w:rsid w:val="65C56499"/>
    <w:rsid w:val="66AE3312"/>
    <w:rsid w:val="66FD57E1"/>
    <w:rsid w:val="6C25707F"/>
    <w:rsid w:val="6DCA7DEC"/>
    <w:rsid w:val="72D333F3"/>
    <w:rsid w:val="76A36EC4"/>
    <w:rsid w:val="76E77CB8"/>
    <w:rsid w:val="776B1CED"/>
    <w:rsid w:val="78F34415"/>
    <w:rsid w:val="79597850"/>
    <w:rsid w:val="7EE424C2"/>
    <w:rsid w:val="7FBD3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adjustRightInd w:val="0"/>
      <w:jc w:val="left"/>
    </w:pPr>
    <w:rPr>
      <w:rFonts w:ascii="宋体" w:hAnsi="Courier New"/>
      <w:sz w:val="24"/>
      <w:szCs w:val="20"/>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7">
    <w:name w:val="p0"/>
    <w:basedOn w:val="1"/>
    <w:qFormat/>
    <w:uiPriority w:val="0"/>
    <w:pPr>
      <w:widowControl/>
      <w:jc w:val="left"/>
    </w:pPr>
    <w:rPr>
      <w:kern w:val="0"/>
      <w:szCs w:val="21"/>
    </w:rPr>
  </w:style>
  <w:style w:type="paragraph" w:customStyle="1" w:styleId="8">
    <w:name w:val="p15"/>
    <w:basedOn w:val="1"/>
    <w:qFormat/>
    <w:uiPriority w:val="0"/>
    <w:pPr>
      <w:widowControl/>
      <w:jc w:val="left"/>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2023-11-13T07:37:00Z</dcterms:created>
  <dc:creator>未定义</dc:creator>
  <cp:lastModifiedBy>未定义</cp:lastModifiedBy>
  <cp:lastPrinted>2025-10-14T01:11:00Z</cp:lastPrinted>
  <dcterms:modified xsi:type="dcterms:W3CDTF">2025-11-25T02:46:56Z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B0D64E145F0C40A0A7C42B66C20D39EB</vt:lpwstr>
  </property>
</Properties>
</file>