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2721C">
      <w:pPr>
        <w:ind w:left="0" w:leftChars="0" w:firstLine="0" w:firstLineChars="0"/>
        <w:jc w:val="center"/>
      </w:pPr>
      <w:r>
        <w:rPr>
          <w:rFonts w:hint="eastAsia" w:ascii="黑体" w:eastAsia="黑体"/>
          <w:sz w:val="44"/>
          <w:szCs w:val="44"/>
          <w:lang w:eastAsia="zh-CN"/>
        </w:rPr>
        <w:t>卧龙区</w:t>
      </w:r>
      <w:r>
        <w:rPr>
          <w:rFonts w:hint="eastAsia" w:ascii="黑体" w:eastAsia="黑体"/>
          <w:sz w:val="44"/>
          <w:szCs w:val="44"/>
        </w:rPr>
        <w:t>预算绩效工作开展情况说明</w:t>
      </w:r>
    </w:p>
    <w:p w14:paraId="3CCAB55B">
      <w:pPr>
        <w:ind w:left="0" w:leftChars="0" w:firstLine="640" w:firstLineChars="200"/>
        <w:jc w:val="left"/>
        <w:rPr>
          <w:rFonts w:hint="eastAsia" w:ascii="仿宋_GB2312" w:hAnsi="Calibri" w:eastAsia="仿宋_GB2312" w:cs="Times New Roman"/>
          <w:kern w:val="2"/>
          <w:sz w:val="32"/>
          <w:szCs w:val="32"/>
          <w:lang w:val="en-US" w:eastAsia="zh-CN" w:bidi="ar"/>
        </w:rPr>
      </w:pPr>
    </w:p>
    <w:p w14:paraId="02357C9D">
      <w:pPr>
        <w:keepNext w:val="0"/>
        <w:keepLines w:val="0"/>
        <w:pageBreakBefore w:val="0"/>
        <w:kinsoku/>
        <w:wordWrap/>
        <w:overflowPunct/>
        <w:topLinePunct w:val="0"/>
        <w:autoSpaceDE/>
        <w:autoSpaceDN/>
        <w:bidi w:val="0"/>
        <w:adjustRightInd/>
        <w:snapToGrid/>
        <w:spacing w:line="600" w:lineRule="atLeast"/>
        <w:ind w:left="0" w:leftChars="0" w:firstLine="640" w:firstLineChars="200"/>
        <w:jc w:val="left"/>
        <w:textAlignment w:val="auto"/>
        <w:rPr>
          <w:rFonts w:hint="eastAsia" w:ascii="仿宋_GB2312" w:hAnsi="Calibri" w:eastAsia="仿宋_GB2312" w:cs="Times New Roman"/>
          <w:kern w:val="2"/>
          <w:sz w:val="32"/>
          <w:szCs w:val="32"/>
          <w:lang w:val="en-US" w:eastAsia="zh-CN" w:bidi="ar"/>
        </w:rPr>
      </w:pPr>
      <w:r>
        <w:rPr>
          <w:rFonts w:hint="eastAsia" w:ascii="仿宋_GB2312" w:hAnsi="Calibri" w:eastAsia="仿宋_GB2312" w:cs="Times New Roman"/>
          <w:kern w:val="2"/>
          <w:sz w:val="32"/>
          <w:szCs w:val="32"/>
          <w:lang w:val="en-US" w:eastAsia="zh-CN" w:bidi="ar"/>
        </w:rPr>
        <w:t>近年来，我市认真贯彻</w:t>
      </w:r>
      <w:r>
        <w:rPr>
          <w:rFonts w:hint="eastAsia" w:ascii="仿宋_GB2312" w:hAnsi="Times New Roman" w:eastAsia="仿宋_GB2312" w:cs="Times New Roman"/>
          <w:bCs/>
          <w:kern w:val="2"/>
          <w:sz w:val="32"/>
          <w:szCs w:val="20"/>
          <w:lang w:val="en-US" w:eastAsia="zh-CN" w:bidi="ar"/>
        </w:rPr>
        <w:t>《中共河南省委、河南省人民政府关于全面实施预算绩效管理的实施意见》</w:t>
      </w:r>
      <w:r>
        <w:rPr>
          <w:rFonts w:hint="eastAsia" w:ascii="仿宋_GB2312" w:hAnsi="Calibri" w:eastAsia="仿宋_GB2312" w:cs="Times New Roman"/>
          <w:kern w:val="2"/>
          <w:sz w:val="32"/>
          <w:szCs w:val="32"/>
          <w:lang w:val="en-US" w:eastAsia="zh-CN" w:bidi="ar"/>
        </w:rPr>
        <w:t>精神，</w:t>
      </w:r>
      <w:r>
        <w:rPr>
          <w:rFonts w:hint="eastAsia" w:ascii="仿宋_GB2312" w:hAnsi="Times New Roman" w:eastAsia="仿宋_GB2312" w:cs="Times New Roman"/>
          <w:bCs/>
          <w:kern w:val="2"/>
          <w:sz w:val="32"/>
          <w:szCs w:val="20"/>
          <w:lang w:val="en-US" w:eastAsia="zh-CN" w:bidi="ar"/>
        </w:rPr>
        <w:t>在实践中不断完善和改进预算绩效管理工作，稳步推进财政资金预算绩效管理，不断提高预算绩效管理工作的质量和水平,</w:t>
      </w:r>
      <w:r>
        <w:rPr>
          <w:rFonts w:hint="eastAsia" w:ascii="仿宋_GB2312" w:hAnsi="Calibri" w:eastAsia="仿宋_GB2312" w:cs="Times New Roman"/>
          <w:kern w:val="2"/>
          <w:sz w:val="32"/>
          <w:szCs w:val="32"/>
          <w:lang w:val="en-US" w:eastAsia="zh-CN" w:bidi="ar"/>
        </w:rPr>
        <w:t>进一步提高了财政资金的使用效益，取得了一定成效。</w:t>
      </w:r>
    </w:p>
    <w:p w14:paraId="135BE5D0">
      <w:pPr>
        <w:keepNext w:val="0"/>
        <w:keepLines w:val="0"/>
        <w:pageBreakBefore w:val="0"/>
        <w:widowControl w:val="0"/>
        <w:kinsoku/>
        <w:wordWrap/>
        <w:overflowPunct/>
        <w:topLinePunct w:val="0"/>
        <w:autoSpaceDE/>
        <w:autoSpaceDN/>
        <w:bidi w:val="0"/>
        <w:adjustRightInd/>
        <w:snapToGrid/>
        <w:spacing w:line="600" w:lineRule="atLeast"/>
        <w:ind w:firstLine="643"/>
        <w:textAlignment w:val="auto"/>
        <w:rPr>
          <w:rFonts w:hint="eastAsia" w:ascii="黑体" w:hAnsi="黑体" w:eastAsia="黑体" w:cs="黑体"/>
          <w:b w:val="0"/>
          <w:bCs w:val="0"/>
          <w:kern w:val="32"/>
        </w:rPr>
      </w:pPr>
      <w:r>
        <w:rPr>
          <w:rFonts w:hint="eastAsia" w:ascii="黑体" w:hAnsi="黑体" w:eastAsia="黑体" w:cs="黑体"/>
          <w:b w:val="0"/>
          <w:bCs w:val="0"/>
          <w:kern w:val="32"/>
          <w:lang w:eastAsia="zh-CN"/>
        </w:rPr>
        <w:t>一、</w:t>
      </w:r>
      <w:r>
        <w:rPr>
          <w:rFonts w:hint="eastAsia" w:ascii="黑体" w:hAnsi="黑体" w:eastAsia="黑体" w:cs="黑体"/>
          <w:b w:val="0"/>
          <w:bCs w:val="0"/>
          <w:kern w:val="32"/>
        </w:rPr>
        <w:t>全面实施绩效目标管理</w:t>
      </w:r>
    </w:p>
    <w:p w14:paraId="294BC593">
      <w:pPr>
        <w:keepNext w:val="0"/>
        <w:keepLines w:val="0"/>
        <w:pageBreakBefore w:val="0"/>
        <w:widowControl w:val="0"/>
        <w:kinsoku/>
        <w:wordWrap/>
        <w:overflowPunct/>
        <w:topLinePunct w:val="0"/>
        <w:autoSpaceDE/>
        <w:autoSpaceDN/>
        <w:bidi w:val="0"/>
        <w:adjustRightInd/>
        <w:snapToGrid/>
        <w:spacing w:line="600" w:lineRule="atLeast"/>
        <w:ind w:firstLine="640"/>
        <w:textAlignment w:val="auto"/>
        <w:rPr>
          <w:rFonts w:hAnsi="仿宋_GB2312" w:cs="仿宋_GB2312"/>
          <w:kern w:val="32"/>
        </w:rPr>
      </w:pPr>
      <w:r>
        <w:rPr>
          <w:rFonts w:hint="eastAsia" w:hAnsi="仿宋_GB2312" w:cs="仿宋_GB2312"/>
          <w:kern w:val="32"/>
        </w:rPr>
        <w:t>一是明确绩效目标管理范围。将区乡两级</w:t>
      </w:r>
      <w:r>
        <w:rPr>
          <w:rFonts w:hAnsi="仿宋_GB2312" w:cs="仿宋_GB2312"/>
          <w:kern w:val="32"/>
        </w:rPr>
        <w:t>预算项目支出和整体支出纳入绩效目标管理范围，全程在预算</w:t>
      </w:r>
      <w:r>
        <w:rPr>
          <w:rFonts w:hint="eastAsia" w:hAnsi="仿宋_GB2312" w:cs="仿宋_GB2312"/>
          <w:kern w:val="32"/>
        </w:rPr>
        <w:t>管理</w:t>
      </w:r>
      <w:r>
        <w:rPr>
          <w:rFonts w:hAnsi="仿宋_GB2312" w:cs="仿宋_GB2312"/>
          <w:kern w:val="32"/>
        </w:rPr>
        <w:t>一体化系统中进行线上申报，切实做到绩效目标管理全覆盖。</w:t>
      </w:r>
    </w:p>
    <w:p w14:paraId="6EDD2B94">
      <w:pPr>
        <w:keepNext w:val="0"/>
        <w:keepLines w:val="0"/>
        <w:pageBreakBefore w:val="0"/>
        <w:widowControl w:val="0"/>
        <w:kinsoku/>
        <w:wordWrap/>
        <w:overflowPunct/>
        <w:topLinePunct w:val="0"/>
        <w:autoSpaceDE/>
        <w:autoSpaceDN/>
        <w:bidi w:val="0"/>
        <w:adjustRightInd/>
        <w:snapToGrid/>
        <w:spacing w:line="600" w:lineRule="atLeast"/>
        <w:ind w:firstLine="640"/>
        <w:textAlignment w:val="auto"/>
        <w:rPr>
          <w:rFonts w:hAnsi="仿宋_GB2312" w:cs="仿宋_GB2312"/>
          <w:kern w:val="32"/>
        </w:rPr>
      </w:pPr>
      <w:r>
        <w:rPr>
          <w:rFonts w:hint="eastAsia" w:hAnsi="仿宋_GB2312" w:cs="仿宋_GB2312"/>
          <w:kern w:val="32"/>
        </w:rPr>
        <w:t>二是强化审核把关，预算和绩效同审核。审核人员对所有录入预算管理一体化系统的项目支出和部门整体支出绩效目标进行审核，规范部门编制绩效目标的科学性和准确性。</w:t>
      </w:r>
    </w:p>
    <w:p w14:paraId="250746CC">
      <w:pPr>
        <w:keepNext w:val="0"/>
        <w:keepLines w:val="0"/>
        <w:pageBreakBefore w:val="0"/>
        <w:widowControl w:val="0"/>
        <w:kinsoku/>
        <w:wordWrap/>
        <w:overflowPunct/>
        <w:topLinePunct w:val="0"/>
        <w:autoSpaceDE/>
        <w:autoSpaceDN/>
        <w:bidi w:val="0"/>
        <w:adjustRightInd/>
        <w:snapToGrid/>
        <w:spacing w:line="600" w:lineRule="atLeast"/>
        <w:ind w:firstLine="640"/>
        <w:textAlignment w:val="auto"/>
      </w:pPr>
      <w:r>
        <w:rPr>
          <w:rFonts w:hint="eastAsia" w:hAnsi="仿宋_GB2312" w:cs="仿宋_GB2312"/>
          <w:kern w:val="32"/>
        </w:rPr>
        <w:t>三是完善项目绩效管理责任，推动绩效目标公开。在批复下达年初预算时，通过格式表格同步下达绩效目标，明确部门单位是预算执行主体，负责实现并向社会公开项目绩效目标。</w:t>
      </w:r>
    </w:p>
    <w:p w14:paraId="45F84FCB">
      <w:pPr>
        <w:keepNext w:val="0"/>
        <w:keepLines w:val="0"/>
        <w:pageBreakBefore w:val="0"/>
        <w:widowControl/>
        <w:suppressLineNumbers w:val="0"/>
        <w:kinsoku/>
        <w:wordWrap/>
        <w:overflowPunct/>
        <w:topLinePunct w:val="0"/>
        <w:autoSpaceDE/>
        <w:autoSpaceDN/>
        <w:bidi w:val="0"/>
        <w:adjustRightInd/>
        <w:snapToGrid/>
        <w:spacing w:line="600" w:lineRule="atLeast"/>
        <w:jc w:val="left"/>
        <w:textAlignment w:val="auto"/>
      </w:pPr>
      <w:r>
        <w:rPr>
          <w:rFonts w:ascii="黑体" w:hAnsi="宋体" w:eastAsia="黑体" w:cs="黑体"/>
          <w:color w:val="000000"/>
          <w:kern w:val="0"/>
          <w:sz w:val="31"/>
          <w:szCs w:val="31"/>
          <w:lang w:val="en-US" w:eastAsia="zh-CN" w:bidi="ar"/>
        </w:rPr>
        <w:t>二、</w:t>
      </w:r>
      <w:r>
        <w:rPr>
          <w:rFonts w:hint="eastAsia" w:ascii="黑体" w:hAnsi="宋体" w:eastAsia="黑体" w:cs="黑体"/>
          <w:color w:val="000000"/>
          <w:kern w:val="0"/>
          <w:sz w:val="31"/>
          <w:szCs w:val="31"/>
          <w:lang w:val="en-US" w:eastAsia="zh-CN" w:bidi="ar"/>
        </w:rPr>
        <w:t>宣传树立</w:t>
      </w:r>
      <w:bookmarkStart w:id="0" w:name="_GoBack"/>
      <w:bookmarkEnd w:id="0"/>
      <w:r>
        <w:rPr>
          <w:rFonts w:ascii="黑体" w:hAnsi="宋体" w:eastAsia="黑体" w:cs="黑体"/>
          <w:color w:val="000000"/>
          <w:kern w:val="0"/>
          <w:sz w:val="31"/>
          <w:szCs w:val="31"/>
          <w:lang w:val="en-US" w:eastAsia="zh-CN" w:bidi="ar"/>
        </w:rPr>
        <w:t xml:space="preserve">预算绩效管理理念 </w:t>
      </w:r>
    </w:p>
    <w:p w14:paraId="41C63AE5">
      <w:pPr>
        <w:keepNext w:val="0"/>
        <w:keepLines w:val="0"/>
        <w:pageBreakBefore w:val="0"/>
        <w:widowControl/>
        <w:suppressLineNumbers w:val="0"/>
        <w:kinsoku/>
        <w:wordWrap/>
        <w:overflowPunct/>
        <w:topLinePunct w:val="0"/>
        <w:autoSpaceDE/>
        <w:autoSpaceDN/>
        <w:bidi w:val="0"/>
        <w:adjustRightInd/>
        <w:snapToGrid/>
        <w:spacing w:line="600" w:lineRule="atLeast"/>
        <w:jc w:val="left"/>
        <w:textAlignment w:val="auto"/>
      </w:pPr>
      <w:r>
        <w:rPr>
          <w:rFonts w:ascii="仿宋_GB2312" w:hAnsi="宋体" w:eastAsia="仿宋_GB2312" w:cs="仿宋_GB2312"/>
          <w:color w:val="000000"/>
          <w:kern w:val="0"/>
          <w:sz w:val="31"/>
          <w:szCs w:val="31"/>
          <w:lang w:val="en-US" w:eastAsia="zh-CN" w:bidi="ar"/>
        </w:rPr>
        <w:t xml:space="preserve">组织政策宣讲解读和培训，对全面实施预算绩效管理和相关 </w:t>
      </w:r>
      <w:r>
        <w:rPr>
          <w:rFonts w:hint="eastAsia" w:ascii="仿宋_GB2312" w:hAnsi="宋体" w:eastAsia="仿宋_GB2312" w:cs="仿宋_GB2312"/>
          <w:color w:val="000000"/>
          <w:kern w:val="0"/>
          <w:sz w:val="31"/>
          <w:szCs w:val="31"/>
          <w:lang w:val="en-US" w:eastAsia="zh-CN" w:bidi="ar"/>
        </w:rPr>
        <w:t>政策进行解读，让预算绩效管理深入人心，使各科室牢固树立“讲绩效、重绩效、用绩效”、“花钱必问效、无效必问责”的绩效管理理念，进一步增强支出责任和效率意识，为顺利深入开展预算绩效管理工作创造良好氛围。</w:t>
      </w:r>
    </w:p>
    <w:p w14:paraId="738FF2B1">
      <w:pPr>
        <w:keepNext w:val="0"/>
        <w:keepLines w:val="0"/>
        <w:pageBreakBefore w:val="0"/>
        <w:widowControl/>
        <w:suppressLineNumbers w:val="0"/>
        <w:kinsoku/>
        <w:wordWrap/>
        <w:overflowPunct/>
        <w:topLinePunct w:val="0"/>
        <w:autoSpaceDE/>
        <w:autoSpaceDN/>
        <w:bidi w:val="0"/>
        <w:adjustRightInd/>
        <w:snapToGrid/>
        <w:spacing w:line="600" w:lineRule="atLeast"/>
        <w:ind w:left="0" w:leftChars="0" w:firstLine="638" w:firstLineChars="200"/>
        <w:jc w:val="left"/>
        <w:textAlignment w:val="auto"/>
      </w:pPr>
      <w:r>
        <w:rPr>
          <w:rFonts w:ascii="黑体" w:hAnsi="宋体" w:eastAsia="黑体" w:cs="黑体"/>
          <w:color w:val="000000"/>
          <w:kern w:val="0"/>
          <w:sz w:val="31"/>
          <w:szCs w:val="31"/>
          <w:lang w:val="en-US" w:eastAsia="zh-CN" w:bidi="ar"/>
        </w:rPr>
        <w:t xml:space="preserve">三、推动预算绩效管理提质增效 </w:t>
      </w:r>
    </w:p>
    <w:p w14:paraId="450B0508">
      <w:pPr>
        <w:keepNext w:val="0"/>
        <w:keepLines w:val="0"/>
        <w:pageBreakBefore w:val="0"/>
        <w:widowControl/>
        <w:suppressLineNumbers w:val="0"/>
        <w:kinsoku/>
        <w:wordWrap/>
        <w:overflowPunct/>
        <w:topLinePunct w:val="0"/>
        <w:autoSpaceDE/>
        <w:autoSpaceDN/>
        <w:bidi w:val="0"/>
        <w:adjustRightInd/>
        <w:snapToGrid/>
        <w:spacing w:line="600" w:lineRule="atLeast"/>
        <w:ind w:left="0" w:leftChars="0" w:firstLine="638" w:firstLineChars="200"/>
        <w:jc w:val="left"/>
        <w:textAlignment w:val="auto"/>
      </w:pPr>
      <w:r>
        <w:rPr>
          <w:rFonts w:hint="eastAsia" w:ascii="仿宋_GB2312" w:hAnsi="宋体" w:eastAsia="仿宋_GB2312" w:cs="仿宋_GB2312"/>
          <w:color w:val="000000"/>
          <w:kern w:val="0"/>
          <w:sz w:val="31"/>
          <w:szCs w:val="31"/>
          <w:lang w:val="en-US" w:eastAsia="zh-CN" w:bidi="ar"/>
        </w:rPr>
        <w:t>在普遍开展项目支出资金绩效自评和部门整体支出资金绩效自评的基础上，今年根据市局工作要求和安排，稳步推进部门绩效评价工作。由各预算主管部门负责并组织实施，在本部门项目自评的基础上，结合工作实际，优先选择部门履职的重大改革发展项目，对项目的决策情况、资金管理和使用情况、相关管理制度办法的健全性及执行情况、实现的产出情况、取得的效益情况等组织开展绩效评价。</w:t>
      </w:r>
    </w:p>
    <w:p w14:paraId="65799CC2">
      <w:pPr>
        <w:keepNext w:val="0"/>
        <w:keepLines w:val="0"/>
        <w:pageBreakBefore w:val="0"/>
        <w:widowControl/>
        <w:suppressLineNumbers w:val="0"/>
        <w:kinsoku/>
        <w:wordWrap/>
        <w:overflowPunct/>
        <w:topLinePunct w:val="0"/>
        <w:autoSpaceDE/>
        <w:autoSpaceDN/>
        <w:bidi w:val="0"/>
        <w:adjustRightInd/>
        <w:snapToGrid/>
        <w:spacing w:line="600" w:lineRule="atLeast"/>
        <w:jc w:val="left"/>
        <w:textAlignment w:val="auto"/>
      </w:pPr>
      <w:r>
        <w:rPr>
          <w:rFonts w:hint="eastAsia" w:ascii="黑体" w:hAnsi="宋体" w:eastAsia="黑体" w:cs="黑体"/>
          <w:color w:val="000000"/>
          <w:kern w:val="0"/>
          <w:sz w:val="31"/>
          <w:szCs w:val="31"/>
          <w:lang w:val="en-US" w:eastAsia="zh-CN" w:bidi="ar"/>
        </w:rPr>
        <w:t xml:space="preserve">四、加大重点项目支出绩效评价 </w:t>
      </w:r>
    </w:p>
    <w:p w14:paraId="25892D54">
      <w:pPr>
        <w:keepNext w:val="0"/>
        <w:keepLines w:val="0"/>
        <w:pageBreakBefore w:val="0"/>
        <w:widowControl/>
        <w:suppressLineNumbers w:val="0"/>
        <w:kinsoku/>
        <w:wordWrap/>
        <w:overflowPunct/>
        <w:topLinePunct w:val="0"/>
        <w:autoSpaceDE/>
        <w:autoSpaceDN/>
        <w:bidi w:val="0"/>
        <w:adjustRightInd/>
        <w:snapToGrid/>
        <w:spacing w:line="600" w:lineRule="atLeast"/>
        <w:jc w:val="left"/>
        <w:textAlignment w:val="auto"/>
      </w:pPr>
      <w:r>
        <w:rPr>
          <w:rFonts w:hint="eastAsia" w:ascii="仿宋_GB2312" w:hAnsi="宋体" w:eastAsia="仿宋_GB2312" w:cs="仿宋_GB2312"/>
          <w:color w:val="000000"/>
          <w:kern w:val="0"/>
          <w:sz w:val="31"/>
          <w:szCs w:val="31"/>
          <w:lang w:val="en-US" w:eastAsia="zh-CN" w:bidi="ar"/>
        </w:rPr>
        <w:t>根据《卧龙区区级预算项目支出绩效评价管理办法》，按照“覆盖面广、影响力大、社会关注度高、实施期长”的原则</w:t>
      </w:r>
      <w:r>
        <w:rPr>
          <w:rFonts w:hint="eastAsia" w:hAnsi="宋体"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202</w:t>
      </w:r>
      <w:r>
        <w:rPr>
          <w:rFonts w:hint="eastAsia" w:hAnsi="宋体" w:cs="仿宋_GB2312"/>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年共选取</w:t>
      </w:r>
      <w:r>
        <w:rPr>
          <w:rFonts w:hint="eastAsia" w:hAnsi="宋体" w:cs="仿宋_GB2312"/>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个项目开展重点评价，涉及财政资金31659.6万元（大官庄区域棚户区改造项目专项债券资金28000万元，财政衔接乡村振兴资金项目1301.98万元，动物防疫经费935.3</w:t>
      </w:r>
      <w:r>
        <w:rPr>
          <w:rFonts w:hint="eastAsia" w:hAnsi="宋体"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万元</w:t>
      </w:r>
      <w:r>
        <w:rPr>
          <w:rFonts w:hint="eastAsia" w:hAnsi="宋体"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残疾人两项补贴423.82万元，基本公共卫生服务998.</w:t>
      </w:r>
      <w:r>
        <w:rPr>
          <w:rFonts w:hint="eastAsia" w:hAnsi="宋体" w:cs="仿宋_GB2312"/>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万元）。</w:t>
      </w:r>
    </w:p>
    <w:p w14:paraId="010388FD">
      <w:pPr>
        <w:ind w:firstLine="640"/>
        <w:rPr>
          <w:shd w:val="clear" w:color="FFFFFF" w:fill="D9D9D9"/>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489796"/>
      <w:docPartObj>
        <w:docPartGallery w:val="autotext"/>
      </w:docPartObj>
    </w:sdtPr>
    <w:sdtContent>
      <w:p w14:paraId="31C8F6E4">
        <w:pPr>
          <w:pStyle w:val="2"/>
          <w:ind w:firstLine="360"/>
          <w:jc w:val="center"/>
        </w:pPr>
        <w:r>
          <w:fldChar w:fldCharType="begin"/>
        </w:r>
        <w:r>
          <w:instrText xml:space="preserve">PAGE   \* MERGEFORMAT</w:instrText>
        </w:r>
        <w:r>
          <w:fldChar w:fldCharType="separate"/>
        </w:r>
        <w:r>
          <w:rPr>
            <w:lang w:val="zh-CN"/>
          </w:rPr>
          <w:t>5</w:t>
        </w:r>
        <w:r>
          <w:fldChar w:fldCharType="end"/>
        </w:r>
      </w:p>
    </w:sdtContent>
  </w:sdt>
  <w:p w14:paraId="279BE34E">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BAC7">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1917">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8BA4">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CE8CB">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FB80">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ZjZkMzU1NzkwMDE3N2JmYTg4Y2U2YTFjYTk1ZGMifQ=="/>
  </w:docVars>
  <w:rsids>
    <w:rsidRoot w:val="0097447C"/>
    <w:rsid w:val="0007156D"/>
    <w:rsid w:val="000F1AE2"/>
    <w:rsid w:val="00166BAF"/>
    <w:rsid w:val="001B34FB"/>
    <w:rsid w:val="001D272D"/>
    <w:rsid w:val="001F03F5"/>
    <w:rsid w:val="0021134C"/>
    <w:rsid w:val="00274121"/>
    <w:rsid w:val="002752C5"/>
    <w:rsid w:val="002B65CF"/>
    <w:rsid w:val="003653E4"/>
    <w:rsid w:val="004462B8"/>
    <w:rsid w:val="004905C5"/>
    <w:rsid w:val="004F43A6"/>
    <w:rsid w:val="005C4130"/>
    <w:rsid w:val="005D656B"/>
    <w:rsid w:val="006278FF"/>
    <w:rsid w:val="006778D1"/>
    <w:rsid w:val="006F5813"/>
    <w:rsid w:val="00802E99"/>
    <w:rsid w:val="00876118"/>
    <w:rsid w:val="008D04E2"/>
    <w:rsid w:val="008F1CDF"/>
    <w:rsid w:val="00906E93"/>
    <w:rsid w:val="00950312"/>
    <w:rsid w:val="0097447C"/>
    <w:rsid w:val="009B6B35"/>
    <w:rsid w:val="009C5296"/>
    <w:rsid w:val="00A20278"/>
    <w:rsid w:val="00A24B28"/>
    <w:rsid w:val="00A509B5"/>
    <w:rsid w:val="00A57E79"/>
    <w:rsid w:val="00B53BFA"/>
    <w:rsid w:val="00B93B1C"/>
    <w:rsid w:val="00BB2723"/>
    <w:rsid w:val="00BB792B"/>
    <w:rsid w:val="00C96652"/>
    <w:rsid w:val="00CC49DE"/>
    <w:rsid w:val="00CD3B34"/>
    <w:rsid w:val="00CE2F98"/>
    <w:rsid w:val="00D365A0"/>
    <w:rsid w:val="00E331D3"/>
    <w:rsid w:val="00E75C75"/>
    <w:rsid w:val="00EE60F6"/>
    <w:rsid w:val="00FA39D2"/>
    <w:rsid w:val="0576695B"/>
    <w:rsid w:val="14442A51"/>
    <w:rsid w:val="244C50B4"/>
    <w:rsid w:val="3F53138D"/>
    <w:rsid w:val="493A1F1C"/>
    <w:rsid w:val="4BBF0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仿宋_GB2312" w:eastAsia="仿宋_GB2312" w:hAnsiTheme="minorHAnsi" w:cstheme="minorBidi"/>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uiPriority w:val="99"/>
    <w:rPr>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1117</Words>
  <Characters>1141</Characters>
  <Lines>15</Lines>
  <Paragraphs>4</Paragraphs>
  <TotalTime>106</TotalTime>
  <ScaleCrop>false</ScaleCrop>
  <LinksUpToDate>false</LinksUpToDate>
  <CharactersWithSpaces>1141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2023-01-29T07:51:00Z</dcterms:created>
  <dc:creator>余海东</dc:creator>
  <cp:lastModifiedBy>张毅会</cp:lastModifiedBy>
  <cp:lastPrinted>2024-08-23T01:12:00Z</cp:lastPrinted>
  <dcterms:modified xsi:type="dcterms:W3CDTF">2025-10-23T03:00:42Z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221CDF13704B44C6A360AA7F506AC689_13</vt:lpwstr>
  </property>
  <property fmtid="{D5CDD505-2E9C-101B-9397-08002B2CF9AE}" pid="4" name="KSOTemplateDocerSaveRecord">
    <vt:lpwstr>eyJoZGlkIjoiYmUyZjZkMzU1NzkwMDE3N2JmYTg4Y2U2YTFjYTk1ZGMiLCJ1c2VySWQiOiIzNTA2NzQ4NDYifQ==</vt:lpwstr>
  </property>
</Properties>
</file>