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14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7" w:hRule="atLeast"/>
        </w:trPr>
        <w:tc>
          <w:tcPr>
            <w:tcW w:w="9648" w:type="dxa"/>
            <w:noWrap w:val="0"/>
            <w:vAlign w:val="top"/>
          </w:tcPr>
          <w:p>
            <w:pPr>
              <w:rPr>
                <w:rFonts w:hint="eastAsia"/>
              </w:rPr>
            </w:pPr>
          </w:p>
          <w:p>
            <w:pPr>
              <w:spacing w:line="360" w:lineRule="exact"/>
              <w:ind w:firstLine="6440" w:firstLineChars="2300"/>
              <w:rPr>
                <w:rFonts w:hint="eastAsia" w:ascii="楷体_GB2312" w:hAnsi="Times New Roman"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宛龙环审〔202</w:t>
            </w:r>
            <w:r>
              <w:rPr>
                <w:rFonts w:hint="eastAsia" w:ascii="楷体_GB2312" w:eastAsia="楷体_GB2312" w:cs="Times New Roman"/>
                <w:color w:val="000000"/>
                <w:kern w:val="0"/>
                <w:sz w:val="28"/>
                <w:szCs w:val="28"/>
                <w:lang w:val="en-US" w:eastAsia="zh-CN"/>
              </w:rPr>
              <w:t>5</w:t>
            </w:r>
            <w:r>
              <w:rPr>
                <w:rFonts w:hint="eastAsia" w:ascii="楷体_GB2312" w:hAnsi="Times New Roman" w:eastAsia="楷体_GB2312" w:cs="Times New Roman"/>
                <w:color w:val="000000"/>
                <w:kern w:val="0"/>
                <w:sz w:val="28"/>
                <w:szCs w:val="28"/>
              </w:rPr>
              <w:t>〕</w:t>
            </w:r>
            <w:r>
              <w:rPr>
                <w:rFonts w:hint="eastAsia" w:ascii="楷体_GB2312" w:eastAsia="楷体_GB2312" w:cs="Times New Roman"/>
                <w:color w:val="000000"/>
                <w:kern w:val="0"/>
                <w:sz w:val="28"/>
                <w:szCs w:val="28"/>
                <w:lang w:val="en-US" w:eastAsia="zh-CN"/>
              </w:rPr>
              <w:t>19</w:t>
            </w:r>
            <w:r>
              <w:rPr>
                <w:rFonts w:hint="eastAsia" w:ascii="楷体_GB2312" w:hAnsi="Times New Roman" w:eastAsia="楷体_GB2312" w:cs="Times New Roman"/>
                <w:color w:val="000000"/>
                <w:kern w:val="0"/>
                <w:sz w:val="28"/>
                <w:szCs w:val="28"/>
              </w:rPr>
              <w:t>号</w:t>
            </w:r>
          </w:p>
          <w:p>
            <w:pPr>
              <w:rPr>
                <w:rFonts w:hint="eastAsia"/>
              </w:rPr>
            </w:pPr>
          </w:p>
          <w:p>
            <w:pPr>
              <w:pStyle w:val="7"/>
              <w:spacing w:line="360" w:lineRule="exact"/>
              <w:jc w:val="center"/>
              <w:rPr>
                <w:rFonts w:hint="eastAsia" w:ascii="宋体" w:hAnsi="宋体" w:cs="Times New Roman"/>
                <w:b/>
                <w:color w:val="000000"/>
                <w:sz w:val="32"/>
                <w:szCs w:val="32"/>
                <w:lang w:eastAsia="zh-CN"/>
              </w:rPr>
            </w:pPr>
            <w:r>
              <w:rPr>
                <w:rFonts w:hint="eastAsia" w:ascii="宋体" w:hAnsi="宋体" w:eastAsia="宋体" w:cs="Times New Roman"/>
                <w:b/>
                <w:color w:val="000000"/>
                <w:sz w:val="32"/>
                <w:szCs w:val="32"/>
              </w:rPr>
              <w:t>关于</w:t>
            </w:r>
            <w:r>
              <w:rPr>
                <w:rFonts w:hint="eastAsia" w:ascii="宋体" w:hAnsi="宋体" w:cs="Times New Roman"/>
                <w:b/>
                <w:color w:val="000000"/>
                <w:sz w:val="32"/>
                <w:szCs w:val="32"/>
                <w:lang w:eastAsia="zh-CN"/>
              </w:rPr>
              <w:t>河南众德汽车部件有限公司复合型金属制动器智能制造项目</w:t>
            </w:r>
          </w:p>
          <w:p>
            <w:pPr>
              <w:pStyle w:val="7"/>
              <w:spacing w:line="360" w:lineRule="exact"/>
              <w:jc w:val="center"/>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lang w:eastAsia="zh-CN"/>
              </w:rPr>
              <w:t>环境影响报告</w:t>
            </w:r>
            <w:r>
              <w:rPr>
                <w:rFonts w:hint="eastAsia" w:ascii="宋体" w:hAnsi="宋体" w:cs="Times New Roman"/>
                <w:b/>
                <w:color w:val="000000"/>
                <w:sz w:val="32"/>
                <w:szCs w:val="32"/>
                <w:lang w:eastAsia="zh-CN"/>
              </w:rPr>
              <w:t>表</w:t>
            </w:r>
            <w:r>
              <w:rPr>
                <w:rFonts w:hint="eastAsia" w:ascii="宋体" w:hAnsi="宋体" w:eastAsia="宋体" w:cs="Times New Roman"/>
                <w:b/>
                <w:color w:val="000000"/>
                <w:sz w:val="32"/>
                <w:szCs w:val="32"/>
              </w:rPr>
              <w:t>的批复意见</w:t>
            </w:r>
          </w:p>
          <w:p>
            <w:pPr>
              <w:rPr>
                <w:rFonts w:hint="eastAsia"/>
                <w:lang w:val="en-US" w:eastAsia="zh-CN"/>
              </w:rPr>
            </w:pP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根据河南正珩环保科技有限公司编制的《河南众德汽车部件有限公司复合型金属制动器智能制造项目环境影响报告表》（以下简称《报告表》)，经研究，现对《报告表》提出如下批复意见：</w:t>
            </w: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一、</w:t>
            </w:r>
            <w:r>
              <w:rPr>
                <w:rFonts w:hint="eastAsia" w:ascii="楷体" w:hAnsi="楷体" w:eastAsia="楷体" w:cs="楷体"/>
                <w:color w:val="auto"/>
                <w:kern w:val="0"/>
                <w:sz w:val="28"/>
                <w:szCs w:val="28"/>
                <w:highlight w:val="none"/>
                <w:lang w:val="en-US" w:eastAsia="zh-CN" w:bidi="ar-SA"/>
              </w:rPr>
              <w:t>原则批准该项目《报告表》，建设单位可据此落实环保工程。</w:t>
            </w:r>
          </w:p>
          <w:p>
            <w:pPr>
              <w:keepNext w:val="0"/>
              <w:keepLines w:val="0"/>
              <w:pageBreakBefore w:val="0"/>
              <w:widowControl/>
              <w:kinsoku/>
              <w:wordWrap w:val="0"/>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auto"/>
                <w:kern w:val="0"/>
                <w:sz w:val="28"/>
                <w:szCs w:val="28"/>
                <w:highlight w:val="none"/>
                <w:lang w:val="en-US" w:eastAsia="zh-CN" w:bidi="ar-SA"/>
              </w:rPr>
              <w:t>二、严格落实大气污染防治措施，确保各类废气污染物达标排放，确保对周边环境的影响在可接受范围之内。项目营运期废气经处理后达标排放，切圆、浇注、抛丸工序废气排放满足《铸造工业大气污染物排放标准》（GB39726-2020）表1大气污染物排放限值；熔炼工序废气排放满足《工业炉窑大气污染物排放标准》（DB41/1066-2020）表1常规大气污染物排放浓度限值；调漆、喷漆、烘干工序废气排放满足《工业炉窑大气污染物排放标准》（DB41/1066-2020）表1常规大气污染物排放浓度限值及《工业涂装工序挥发性有机物排放标准》（DB41/1951-2020）表1VOCs有组织排放限值；切圆、浇注、抛丸、调漆、喷漆、烘干工序废气同时参照执行《重污染天气重点行业应急减排措施制定技术指南（2020年修订版）》、《关于印发〈重污染天气重点行业绩效分级及减排措施〉补充说明的通知》（环办便函〔2021〕341号）铸造行业，铸造企业（采用天然气、电炉熔化设备）A级企业绩效分级指标。油烟废气排放满足《餐饮业油烟污染物排放标准》（DB41/1604-2018）中型规模标准限值要求；厂区内无组织废气排放满足《铸造工业大气污染物排放标准》（GB 39726-2020）附录A及《工业涂装工序挥发性有机物排放标准》（DB41/1951-2020）表2厂区内VOCs无组织排放浓度限值，参照执行《关于全省开展工业企业挥发性有机物专项治理工作中排放建议值的通知》（豫政坚办〔2017〕162号）工业涂装A级企业绩效分级指标；厂界无组织废气排放满足《大气污染物综合排放标准》（GB 16297-1996）及《工业炉窑大气污染物排放标准》（DB41/ 1066-2020），参照执行《关于全省开展工业企业挥发性有机物专项治理工作中排放建议值的通知》（豫政坚办〔2017〕162号）附件2工业企业边界挥发性有机物排放建议值。严格执行《报告表》提出的项目防护距离相关要求。</w:t>
            </w:r>
          </w:p>
          <w:p>
            <w:pPr>
              <w:keepNext w:val="0"/>
              <w:keepLines w:val="0"/>
              <w:pageBreakBefore w:val="0"/>
              <w:widowControl/>
              <w:kinsoku/>
              <w:wordWrap w:val="0"/>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00"/>
                <w:kern w:val="0"/>
                <w:sz w:val="28"/>
                <w:szCs w:val="28"/>
                <w:highlight w:val="none"/>
                <w:lang w:val="en-US" w:eastAsia="zh-CN" w:bidi="ar-SA"/>
              </w:rPr>
            </w:pPr>
            <w:r>
              <w:rPr>
                <w:rFonts w:hint="eastAsia" w:ascii="楷体" w:hAnsi="楷体" w:eastAsia="楷体" w:cs="楷体"/>
                <w:color w:val="auto"/>
                <w:kern w:val="0"/>
                <w:sz w:val="28"/>
                <w:szCs w:val="28"/>
                <w:highlight w:val="none"/>
                <w:lang w:val="en-US" w:eastAsia="zh-CN" w:bidi="ar-SA"/>
              </w:rPr>
              <w:t>三、项目生产废水循环使用不外排；生活污水经隔油池、化粪池处理后由市政污水管网排入王村污水处理厂处理厂，排放满足《污水综合排放标准》（GB 8978-1996）表4三级标准及王村污水处理厂设计进水控制指标。</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FF"/>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四、</w:t>
            </w:r>
            <w:r>
              <w:rPr>
                <w:rFonts w:hint="eastAsia" w:ascii="楷体" w:hAnsi="楷体" w:eastAsia="楷体" w:cs="楷体"/>
                <w:color w:val="auto"/>
                <w:kern w:val="0"/>
                <w:sz w:val="28"/>
                <w:szCs w:val="28"/>
                <w:highlight w:val="none"/>
                <w:lang w:val="en-US" w:eastAsia="zh-CN" w:bidi="ar-SA"/>
              </w:rPr>
              <w:t>严格落实噪声污染防治措施。施工期各阶段噪声满足《建筑施工厂界环境噪声排放标准》（GB12523-2011）；营运期厂界噪声满足《工业企业厂界环境噪声排放标准》（GB12348-2008）3类标准要求。</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五、</w:t>
            </w:r>
            <w:r>
              <w:rPr>
                <w:rFonts w:hint="default" w:ascii="楷体_GB2312" w:hAnsi="Times New Roman" w:eastAsia="楷体_GB2312" w:cs="Times New Roman"/>
                <w:color w:val="000000"/>
                <w:kern w:val="0"/>
                <w:sz w:val="28"/>
                <w:szCs w:val="28"/>
                <w:highlight w:val="none"/>
                <w:lang w:val="en-US" w:eastAsia="zh-CN" w:bidi="ar-SA"/>
              </w:rPr>
              <w:t>严格落实固体废物污染防治措施，项目产生的固体废物要全部依法依规进行收集、贮存、转运和无害化处置。一般固废贮存、处置须满足《一般工业固体废物贮存</w:t>
            </w:r>
            <w:r>
              <w:rPr>
                <w:rFonts w:hint="eastAsia" w:ascii="楷体_GB2312" w:hAnsi="Times New Roman" w:eastAsia="楷体_GB2312" w:cs="Times New Roman"/>
                <w:color w:val="000000"/>
                <w:kern w:val="0"/>
                <w:sz w:val="28"/>
                <w:szCs w:val="28"/>
                <w:highlight w:val="none"/>
                <w:lang w:val="en-US" w:eastAsia="zh-CN" w:bidi="ar-SA"/>
              </w:rPr>
              <w:t>和填埋污染控制标准</w:t>
            </w:r>
            <w:r>
              <w:rPr>
                <w:rFonts w:hint="default" w:ascii="楷体_GB2312" w:hAnsi="Times New Roman" w:eastAsia="楷体_GB2312" w:cs="Times New Roman"/>
                <w:color w:val="000000"/>
                <w:kern w:val="0"/>
                <w:sz w:val="28"/>
                <w:szCs w:val="28"/>
                <w:highlight w:val="none"/>
                <w:lang w:val="en-US" w:eastAsia="zh-CN" w:bidi="ar-SA"/>
              </w:rPr>
              <w:t>》（GB18599－20</w:t>
            </w:r>
            <w:r>
              <w:rPr>
                <w:rFonts w:hint="eastAsia" w:ascii="楷体_GB2312" w:hAnsi="Times New Roman" w:eastAsia="楷体_GB2312" w:cs="Times New Roman"/>
                <w:color w:val="000000"/>
                <w:kern w:val="0"/>
                <w:sz w:val="28"/>
                <w:szCs w:val="28"/>
                <w:highlight w:val="none"/>
                <w:lang w:val="en-US" w:eastAsia="zh-CN" w:bidi="ar-SA"/>
              </w:rPr>
              <w:t>20</w:t>
            </w:r>
            <w:r>
              <w:rPr>
                <w:rFonts w:hint="default" w:ascii="楷体_GB2312" w:hAnsi="Times New Roman" w:eastAsia="楷体_GB2312" w:cs="Times New Roman"/>
                <w:color w:val="000000"/>
                <w:kern w:val="0"/>
                <w:sz w:val="28"/>
                <w:szCs w:val="28"/>
                <w:highlight w:val="none"/>
                <w:lang w:val="en-US" w:eastAsia="zh-CN" w:bidi="ar-SA"/>
              </w:rPr>
              <w:t>）中相关要求。危险废物贮存要满足《危险废物贮存污染控制标准》（GB18597-2023）中相关要求，并依法依规交送有资质的单位进行处置。</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60" w:firstLineChars="200"/>
              <w:jc w:val="left"/>
              <w:textAlignment w:val="auto"/>
              <w:outlineLvl w:val="9"/>
              <w:rPr>
                <w:rFonts w:hint="eastAsia"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六、本项目环评文件审批后，项目的性质、规模、地点、采用的生产工艺或者防止污染、防止生态破坏的措施发生重大变动的，应当重新报批项目的环境影响评价文件；项目审批五年后方开工建设的，应重新报批该项目的环境影响评价文件。</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lang w:val="en-US" w:eastAsia="zh-CN" w:bidi="ar-SA"/>
              </w:rPr>
            </w:pPr>
            <w:r>
              <w:rPr>
                <w:rFonts w:hint="eastAsia" w:ascii="楷体_GB2312" w:hAnsi="Times New Roman" w:eastAsia="楷体_GB2312" w:cs="Times New Roman"/>
                <w:color w:val="000000"/>
                <w:kern w:val="0"/>
                <w:sz w:val="28"/>
                <w:szCs w:val="28"/>
                <w:lang w:val="en-US" w:eastAsia="zh-CN" w:bidi="ar-SA"/>
              </w:rPr>
              <w:t>七、</w:t>
            </w:r>
            <w:r>
              <w:rPr>
                <w:rFonts w:hint="default" w:ascii="楷体_GB2312" w:hAnsi="Times New Roman" w:eastAsia="楷体_GB2312" w:cs="Times New Roman"/>
                <w:color w:val="000000"/>
                <w:kern w:val="0"/>
                <w:sz w:val="28"/>
                <w:szCs w:val="28"/>
                <w:lang w:val="en-US" w:eastAsia="zh-CN" w:bidi="ar-SA"/>
              </w:rPr>
              <w:t>项目建设和运行过程中须依法依规执行环保“三同时”、排污许可、竣工环保验收等各项环境管理制度。</w:t>
            </w:r>
          </w:p>
          <w:p>
            <w:pPr>
              <w:rPr>
                <w:rFonts w:hint="eastAsia"/>
                <w:lang w:val="en-US" w:eastAsia="zh-CN"/>
              </w:rPr>
            </w:pPr>
            <w:r>
              <w:rPr>
                <w:rFonts w:hint="eastAsia"/>
                <w:lang w:val="en-US" w:eastAsia="zh-CN"/>
              </w:rPr>
              <w:t xml:space="preserve">   </w:t>
            </w:r>
          </w:p>
          <w:p>
            <w:pPr>
              <w:pStyle w:val="2"/>
              <w:rPr>
                <w:rFonts w:hint="default"/>
                <w:lang w:val="en-US" w:eastAsia="zh-CN"/>
              </w:rPr>
            </w:pPr>
            <w:bookmarkStart w:id="0" w:name="_GoBack"/>
            <w:bookmarkEnd w:id="0"/>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000000"/>
                <w:sz w:val="28"/>
                <w:szCs w:val="28"/>
                <w:lang w:val="en-US" w:eastAsia="zh-CN"/>
              </w:rPr>
            </w:pPr>
            <w:r>
              <w:rPr>
                <w:rFonts w:hint="eastAsia" w:ascii="楷体_GB2312" w:hAnsi="Times New Roman" w:eastAsia="楷体_GB2312" w:cs="Times New Roman"/>
                <w:color w:val="000000"/>
                <w:sz w:val="28"/>
                <w:szCs w:val="28"/>
                <w:lang w:val="en-US" w:eastAsia="zh-CN"/>
              </w:rPr>
              <w:t xml:space="preserve">                          </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（公  章）</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auto"/>
                <w:sz w:val="28"/>
                <w:szCs w:val="28"/>
                <w:highlight w:val="no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auto"/>
                <w:sz w:val="28"/>
                <w:szCs w:val="28"/>
                <w:highlight w:val="none"/>
                <w:shd w:val="clear"/>
                <w:lang w:val="en-US" w:eastAsia="zh-CN"/>
              </w:rPr>
            </w:pPr>
            <w:r>
              <w:rPr>
                <w:rFonts w:hint="eastAsia" w:ascii="楷体_GB2312" w:hAnsi="Times New Roman" w:eastAsia="楷体_GB2312" w:cs="Times New Roman"/>
                <w:color w:val="auto"/>
                <w:sz w:val="28"/>
                <w:szCs w:val="28"/>
                <w:highlight w:val="none"/>
                <w:lang w:val="en-US" w:eastAsia="zh-CN"/>
              </w:rPr>
              <w:t xml:space="preserve">                         202</w:t>
            </w:r>
            <w:r>
              <w:rPr>
                <w:rFonts w:hint="eastAsia" w:ascii="楷体_GB2312" w:eastAsia="楷体_GB2312" w:cs="Times New Roman"/>
                <w:color w:val="auto"/>
                <w:sz w:val="28"/>
                <w:szCs w:val="28"/>
                <w:highlight w:val="none"/>
                <w:lang w:val="en-US" w:eastAsia="zh-CN"/>
              </w:rPr>
              <w:t>5</w:t>
            </w:r>
            <w:r>
              <w:rPr>
                <w:rFonts w:hint="eastAsia" w:ascii="楷体_GB2312" w:hAnsi="Times New Roman" w:eastAsia="楷体_GB2312" w:cs="Times New Roman"/>
                <w:color w:val="auto"/>
                <w:sz w:val="28"/>
                <w:szCs w:val="28"/>
                <w:highlight w:val="none"/>
                <w:lang w:val="en-US" w:eastAsia="zh-CN"/>
              </w:rPr>
              <w:t>年</w:t>
            </w:r>
            <w:r>
              <w:rPr>
                <w:rFonts w:hint="eastAsia" w:ascii="楷体_GB2312" w:eastAsia="楷体_GB2312" w:cs="Times New Roman"/>
                <w:color w:val="auto"/>
                <w:sz w:val="28"/>
                <w:szCs w:val="28"/>
                <w:highlight w:val="none"/>
                <w:lang w:val="en-US" w:eastAsia="zh-CN"/>
              </w:rPr>
              <w:t>9</w:t>
            </w:r>
            <w:r>
              <w:rPr>
                <w:rFonts w:hint="eastAsia" w:ascii="楷体_GB2312" w:hAnsi="Times New Roman" w:eastAsia="楷体_GB2312" w:cs="Times New Roman"/>
                <w:color w:val="auto"/>
                <w:sz w:val="28"/>
                <w:szCs w:val="28"/>
                <w:highlight w:val="none"/>
                <w:lang w:val="en-US" w:eastAsia="zh-CN"/>
              </w:rPr>
              <w:t>月</w:t>
            </w:r>
            <w:r>
              <w:rPr>
                <w:rFonts w:hint="eastAsia" w:ascii="楷体_GB2312" w:eastAsia="楷体_GB2312" w:cs="Times New Roman"/>
                <w:color w:val="auto"/>
                <w:sz w:val="28"/>
                <w:szCs w:val="28"/>
                <w:highlight w:val="yellow"/>
                <w:lang w:val="en-US" w:eastAsia="zh-CN"/>
              </w:rPr>
              <w:t>12</w:t>
            </w:r>
            <w:r>
              <w:rPr>
                <w:rFonts w:hint="eastAsia" w:ascii="楷体_GB2312" w:hAnsi="Times New Roman" w:eastAsia="楷体_GB2312" w:cs="Times New Roman"/>
                <w:color w:val="auto"/>
                <w:sz w:val="28"/>
                <w:szCs w:val="28"/>
                <w:highlight w:val="yellow"/>
                <w:lang w:val="en-US" w:eastAsia="zh-CN"/>
              </w:rPr>
              <w:t>日</w:t>
            </w:r>
          </w:p>
          <w:p>
            <w:pPr>
              <w:rPr>
                <w:rFonts w:hint="eastAsia"/>
              </w:rPr>
            </w:pPr>
          </w:p>
        </w:tc>
      </w:tr>
    </w:tbl>
    <w:p/>
    <w:sectPr>
      <w:pgSz w:w="11906" w:h="16838"/>
      <w:pgMar w:top="1287" w:right="720" w:bottom="720"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5302F"/>
    <w:rsid w:val="00C43AA3"/>
    <w:rsid w:val="020A25C5"/>
    <w:rsid w:val="023B3877"/>
    <w:rsid w:val="02525BC3"/>
    <w:rsid w:val="02A71194"/>
    <w:rsid w:val="031E6B46"/>
    <w:rsid w:val="04010AAB"/>
    <w:rsid w:val="054D6435"/>
    <w:rsid w:val="06E47D60"/>
    <w:rsid w:val="070B64B1"/>
    <w:rsid w:val="0B0C17C6"/>
    <w:rsid w:val="0F15111F"/>
    <w:rsid w:val="1135302F"/>
    <w:rsid w:val="11601C38"/>
    <w:rsid w:val="13D20DBF"/>
    <w:rsid w:val="155511AA"/>
    <w:rsid w:val="16122649"/>
    <w:rsid w:val="18054687"/>
    <w:rsid w:val="18D10954"/>
    <w:rsid w:val="19530A09"/>
    <w:rsid w:val="1D173611"/>
    <w:rsid w:val="1D7B0691"/>
    <w:rsid w:val="1E147E5E"/>
    <w:rsid w:val="211F34E2"/>
    <w:rsid w:val="214503DB"/>
    <w:rsid w:val="222323E7"/>
    <w:rsid w:val="24E9401B"/>
    <w:rsid w:val="29EE2076"/>
    <w:rsid w:val="2A3D5D39"/>
    <w:rsid w:val="2BC8310F"/>
    <w:rsid w:val="2C640E09"/>
    <w:rsid w:val="2CD65158"/>
    <w:rsid w:val="3132147A"/>
    <w:rsid w:val="319365BA"/>
    <w:rsid w:val="31C756C5"/>
    <w:rsid w:val="3259581B"/>
    <w:rsid w:val="327455D0"/>
    <w:rsid w:val="33E13F44"/>
    <w:rsid w:val="34B57B10"/>
    <w:rsid w:val="36E27362"/>
    <w:rsid w:val="3D17631C"/>
    <w:rsid w:val="3D9974C4"/>
    <w:rsid w:val="3E6278AD"/>
    <w:rsid w:val="3FC17147"/>
    <w:rsid w:val="41BF7B73"/>
    <w:rsid w:val="43544FA2"/>
    <w:rsid w:val="4CAD1F1D"/>
    <w:rsid w:val="4E3C13BF"/>
    <w:rsid w:val="4EAF205C"/>
    <w:rsid w:val="53974A6D"/>
    <w:rsid w:val="57CC10AA"/>
    <w:rsid w:val="5D026E4B"/>
    <w:rsid w:val="5D8C06C5"/>
    <w:rsid w:val="5E181B6A"/>
    <w:rsid w:val="5EB07CB7"/>
    <w:rsid w:val="5F7018CE"/>
    <w:rsid w:val="63184C31"/>
    <w:rsid w:val="632149C6"/>
    <w:rsid w:val="632C2156"/>
    <w:rsid w:val="65C56499"/>
    <w:rsid w:val="66AE3312"/>
    <w:rsid w:val="66FD57E1"/>
    <w:rsid w:val="6C25707F"/>
    <w:rsid w:val="6DCA7DEC"/>
    <w:rsid w:val="72D333F3"/>
    <w:rsid w:val="76A36EC4"/>
    <w:rsid w:val="76E77CB8"/>
    <w:rsid w:val="776B1CED"/>
    <w:rsid w:val="79597850"/>
    <w:rsid w:val="7EE4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adjustRightInd w:val="0"/>
      <w:jc w:val="left"/>
    </w:pPr>
    <w:rPr>
      <w:rFonts w:ascii="宋体" w:hAnsi="Courier New"/>
      <w:sz w:val="24"/>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7">
    <w:name w:val="p0"/>
    <w:basedOn w:val="1"/>
    <w:qFormat/>
    <w:uiPriority w:val="0"/>
    <w:pPr>
      <w:widowControl/>
      <w:jc w:val="left"/>
    </w:pPr>
    <w:rPr>
      <w:kern w:val="0"/>
      <w:szCs w:val="21"/>
    </w:rPr>
  </w:style>
  <w:style w:type="paragraph" w:customStyle="1" w:styleId="8">
    <w:name w:val="p15"/>
    <w:basedOn w:val="1"/>
    <w:qFormat/>
    <w:uiPriority w:val="0"/>
    <w:pPr>
      <w:widowControl/>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2023-11-13T07:37:00Z</dcterms:created>
  <dc:creator>未定义</dc:creator>
  <cp:lastModifiedBy>未定义</cp:lastModifiedBy>
  <cp:lastPrinted>2025-07-08T01:32:00Z</cp:lastPrinted>
  <dcterms:modified xsi:type="dcterms:W3CDTF">2025-09-11T02:41:35Z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B0D64E145F0C40A0A7C42B66C20D39EB</vt:lpwstr>
  </property>
</Properties>
</file>