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A07" w:rsidRDefault="00E310B3">
      <w:pPr>
        <w:pStyle w:val="1"/>
      </w:pPr>
      <w:r>
        <w:rPr>
          <w:rFonts w:hint="eastAsia"/>
        </w:rPr>
        <w:t>关于对《</w:t>
      </w:r>
      <w:r w:rsidR="00460A59">
        <w:rPr>
          <w:rFonts w:hint="eastAsia"/>
        </w:rPr>
        <w:t>南阳市</w:t>
      </w:r>
      <w:r>
        <w:rPr>
          <w:rFonts w:hint="eastAsia"/>
        </w:rPr>
        <w:t>卧龙区财政投资评审管理办法（修订草案）》的起草说明</w:t>
      </w:r>
    </w:p>
    <w:p w:rsidR="00951A07" w:rsidRDefault="00951A07" w:rsidP="00460A59">
      <w:pPr>
        <w:ind w:firstLine="640"/>
      </w:pPr>
    </w:p>
    <w:p w:rsidR="00951A07" w:rsidRDefault="00E310B3" w:rsidP="00460A59">
      <w:pPr>
        <w:ind w:firstLine="640"/>
      </w:pPr>
      <w:r>
        <w:rPr>
          <w:rFonts w:hint="eastAsia"/>
        </w:rPr>
        <w:t>为加强政府投资建设项目的预算管理，推进财政管理的科学化、精细化，提高财政资金使用效益，规范财政投资评审行为，根据《中华人民共和国预算法》《财政部财政投资评审管理规定》《河南省财政投资评审管理办法》等法律、规定，结合我区实际，区财政局起草了《</w:t>
      </w:r>
      <w:r w:rsidR="00803BE4">
        <w:rPr>
          <w:rFonts w:hint="eastAsia"/>
        </w:rPr>
        <w:t>南阳市</w:t>
      </w:r>
      <w:bookmarkStart w:id="0" w:name="_GoBack"/>
      <w:bookmarkEnd w:id="0"/>
      <w:r>
        <w:rPr>
          <w:rFonts w:hint="eastAsia"/>
        </w:rPr>
        <w:t>卧龙区财政投资评审管理办法（修订草案）》，现将有关情况说明如下：</w:t>
      </w:r>
    </w:p>
    <w:p w:rsidR="00951A07" w:rsidRDefault="00E310B3" w:rsidP="00460A59">
      <w:pPr>
        <w:pStyle w:val="2"/>
        <w:ind w:firstLine="640"/>
      </w:pPr>
      <w:r>
        <w:rPr>
          <w:rFonts w:hint="eastAsia"/>
        </w:rPr>
        <w:t>修订背景​</w:t>
      </w:r>
    </w:p>
    <w:p w:rsidR="00951A07" w:rsidRDefault="00E310B3" w:rsidP="00460A59">
      <w:pPr>
        <w:ind w:firstLine="640"/>
      </w:pPr>
      <w:r>
        <w:rPr>
          <w:rFonts w:hint="eastAsia"/>
        </w:rPr>
        <w:t>《</w:t>
      </w:r>
      <w:r w:rsidR="00460A59">
        <w:rPr>
          <w:rFonts w:hint="eastAsia"/>
        </w:rPr>
        <w:t>南阳市</w:t>
      </w:r>
      <w:r>
        <w:rPr>
          <w:rFonts w:ascii="Times New Roman" w:hAnsi="Times New Roman" w:hint="eastAsia"/>
        </w:rPr>
        <w:t>卧龙区财政投资评审管理办法</w:t>
      </w:r>
      <w:r>
        <w:rPr>
          <w:rFonts w:hint="eastAsia"/>
        </w:rPr>
        <w:t>》（宛龙政〔</w:t>
      </w:r>
      <w:r>
        <w:rPr>
          <w:rFonts w:hint="eastAsia"/>
        </w:rPr>
        <w:t>2020</w:t>
      </w:r>
      <w:r>
        <w:rPr>
          <w:rFonts w:hint="eastAsia"/>
        </w:rPr>
        <w:t>〕</w:t>
      </w:r>
      <w:r>
        <w:rPr>
          <w:rFonts w:hint="eastAsia"/>
        </w:rPr>
        <w:t>33</w:t>
      </w:r>
      <w:r>
        <w:rPr>
          <w:rFonts w:hint="eastAsia"/>
        </w:rPr>
        <w:t>号）自发布实施以来，对规范我区财政投资评审行为，提高财政资金使用效益发挥了重要作用。但随着经济社会的发展和财政改革的不断深入，原有的评审办法已不能完全适应新形势的要求，主要表现在以下几个方面：​</w:t>
      </w:r>
    </w:p>
    <w:p w:rsidR="00951A07" w:rsidRDefault="00E310B3" w:rsidP="00460A59">
      <w:pPr>
        <w:ind w:firstLine="640"/>
      </w:pPr>
      <w:r>
        <w:rPr>
          <w:rFonts w:hint="eastAsia"/>
        </w:rPr>
        <w:t>上级政策有新要求：近年来，国家和省、市对财政投资评审工作提出了一系列新的要求和规定，如财政部《财政投资评审管理规定》、《河南省财政投资评审管理办法（试行）》等，需要我们结合实际进行贯彻落实。​</w:t>
      </w:r>
    </w:p>
    <w:p w:rsidR="00951A07" w:rsidRDefault="00E310B3" w:rsidP="00460A59">
      <w:pPr>
        <w:ind w:firstLine="640"/>
      </w:pPr>
      <w:r>
        <w:rPr>
          <w:rFonts w:hint="eastAsia"/>
        </w:rPr>
        <w:t>评审范围和内容需要拓展：随着政府投资领域的不断变化，财政投资评审的范围和内容也需要相应调整，以更</w:t>
      </w:r>
      <w:r>
        <w:rPr>
          <w:rFonts w:hint="eastAsia"/>
        </w:rPr>
        <w:t>好地适应政府</w:t>
      </w:r>
      <w:r>
        <w:rPr>
          <w:rFonts w:hint="eastAsia"/>
        </w:rPr>
        <w:lastRenderedPageBreak/>
        <w:t>投资项目管理的需要。​</w:t>
      </w:r>
    </w:p>
    <w:p w:rsidR="00951A07" w:rsidRDefault="00E310B3" w:rsidP="00460A59">
      <w:pPr>
        <w:ind w:firstLine="640"/>
      </w:pPr>
      <w:r>
        <w:rPr>
          <w:rFonts w:hint="eastAsia"/>
        </w:rPr>
        <w:t>评审程序和方法有待完善：原有的评审程序和方法在实际操作中存在一些问题，需要进一步优化和完善，以提高评审工作的效率和质量。​</w:t>
      </w:r>
    </w:p>
    <w:p w:rsidR="00951A07" w:rsidRDefault="00E310B3" w:rsidP="00460A59">
      <w:pPr>
        <w:pStyle w:val="2"/>
        <w:ind w:firstLine="640"/>
      </w:pPr>
      <w:r>
        <w:rPr>
          <w:rFonts w:hint="eastAsia"/>
        </w:rPr>
        <w:t>修订原则​</w:t>
      </w:r>
    </w:p>
    <w:p w:rsidR="00951A07" w:rsidRDefault="00E310B3" w:rsidP="00460A59">
      <w:pPr>
        <w:ind w:firstLine="640"/>
      </w:pPr>
      <w:r>
        <w:rPr>
          <w:rFonts w:hint="eastAsia"/>
        </w:rPr>
        <w:t>依法依规原则：严格按照国家和省、市有关法律法规和政策规定，对原有的评审办法进行修订，确保修订后的办法合法合</w:t>
      </w:r>
      <w:proofErr w:type="gramStart"/>
      <w:r>
        <w:rPr>
          <w:rFonts w:hint="eastAsia"/>
        </w:rPr>
        <w:t>规</w:t>
      </w:r>
      <w:proofErr w:type="gramEnd"/>
      <w:r>
        <w:rPr>
          <w:rFonts w:hint="eastAsia"/>
        </w:rPr>
        <w:t>。</w:t>
      </w:r>
    </w:p>
    <w:p w:rsidR="00951A07" w:rsidRDefault="00E310B3" w:rsidP="00460A59">
      <w:pPr>
        <w:ind w:firstLine="640"/>
      </w:pPr>
      <w:r>
        <w:rPr>
          <w:rFonts w:hint="eastAsia"/>
        </w:rPr>
        <w:t>问题导向原则：针对原办法在实施过程中存在的问题和不足，结合实际工作需要，对相关条款进行修改和完善，增强办法的针对性和可操作性。​</w:t>
      </w:r>
    </w:p>
    <w:p w:rsidR="00951A07" w:rsidRDefault="00E310B3" w:rsidP="00460A59">
      <w:pPr>
        <w:ind w:firstLine="640"/>
      </w:pPr>
      <w:r>
        <w:rPr>
          <w:rFonts w:hint="eastAsia"/>
        </w:rPr>
        <w:t>与时俱进原则：充分考虑经济社会发展和财政改革的新形势、新要求，对评审范围、内容、程序和方法等进行拓</w:t>
      </w:r>
      <w:r>
        <w:rPr>
          <w:rFonts w:hint="eastAsia"/>
        </w:rPr>
        <w:t>展和创新，</w:t>
      </w:r>
      <w:proofErr w:type="gramStart"/>
      <w:r>
        <w:rPr>
          <w:rFonts w:hint="eastAsia"/>
        </w:rPr>
        <w:t>使办法</w:t>
      </w:r>
      <w:proofErr w:type="gramEnd"/>
      <w:r>
        <w:rPr>
          <w:rFonts w:hint="eastAsia"/>
        </w:rPr>
        <w:t>更加符合实际工作需要。​</w:t>
      </w:r>
    </w:p>
    <w:p w:rsidR="00951A07" w:rsidRDefault="00E310B3" w:rsidP="00460A59">
      <w:pPr>
        <w:ind w:firstLine="640"/>
      </w:pPr>
      <w:r>
        <w:rPr>
          <w:rFonts w:hint="eastAsia"/>
        </w:rPr>
        <w:t>提高效益原则：以提高财政资金使用效益为出发点和落脚点，通过完善评审制度，加强评审管理，优化评审流程，提高评审质量，为政府投资项目决策和管理提供科学依据。​</w:t>
      </w:r>
    </w:p>
    <w:p w:rsidR="00951A07" w:rsidRDefault="00E310B3" w:rsidP="00460A59">
      <w:pPr>
        <w:pStyle w:val="2"/>
        <w:ind w:firstLine="640"/>
      </w:pPr>
      <w:r>
        <w:rPr>
          <w:rFonts w:hint="eastAsia"/>
        </w:rPr>
        <w:t>起草过程​</w:t>
      </w:r>
    </w:p>
    <w:p w:rsidR="00951A07" w:rsidRDefault="00E310B3" w:rsidP="00460A59">
      <w:pPr>
        <w:ind w:firstLine="640"/>
      </w:pPr>
      <w:r>
        <w:rPr>
          <w:rFonts w:hint="eastAsia"/>
        </w:rPr>
        <w:t>在起草过程中，区财政局按照征求区直有关部门、项目建设单位和社会各界的意见和建议</w:t>
      </w:r>
      <w:r>
        <w:rPr>
          <w:rFonts w:hint="eastAsia"/>
          <w:sz w:val="30"/>
          <w:szCs w:val="30"/>
        </w:rPr>
        <w:t>、</w:t>
      </w:r>
      <w:r>
        <w:rPr>
          <w:rFonts w:hint="eastAsia"/>
        </w:rPr>
        <w:t>合法性审核、集体讨论决定、签署公布等程序进行。</w:t>
      </w:r>
    </w:p>
    <w:p w:rsidR="00951A07" w:rsidRDefault="00E310B3" w:rsidP="00460A59">
      <w:pPr>
        <w:pStyle w:val="2"/>
        <w:ind w:firstLine="640"/>
      </w:pPr>
      <w:r>
        <w:rPr>
          <w:rFonts w:hint="eastAsia"/>
        </w:rPr>
        <w:lastRenderedPageBreak/>
        <w:t>修订的主要内容</w:t>
      </w:r>
    </w:p>
    <w:p w:rsidR="00951A07" w:rsidRDefault="00E310B3" w:rsidP="00460A59">
      <w:pPr>
        <w:ind w:firstLine="640"/>
      </w:pPr>
      <w:r>
        <w:rPr>
          <w:rFonts w:hint="eastAsia"/>
        </w:rPr>
        <w:t>一是修改明晰了财政部门与项目主管部门、项目建设单位的工作职责，特别是在账款拨付、相关税收优惠政策、完成时限等方面的职责划分。</w:t>
      </w:r>
    </w:p>
    <w:p w:rsidR="00951A07" w:rsidRDefault="00E310B3" w:rsidP="00460A59">
      <w:pPr>
        <w:ind w:firstLine="640"/>
      </w:pPr>
      <w:r>
        <w:rPr>
          <w:rFonts w:hint="eastAsia"/>
        </w:rPr>
        <w:t>二是修改了评审范围，由以往的所有</w:t>
      </w:r>
      <w:r>
        <w:rPr>
          <w:rFonts w:hint="eastAsia"/>
        </w:rPr>
        <w:t>财政性资金建设项目改为区</w:t>
      </w:r>
      <w:proofErr w:type="gramStart"/>
      <w:r>
        <w:rPr>
          <w:rFonts w:hint="eastAsia"/>
        </w:rPr>
        <w:t>直主管</w:t>
      </w:r>
      <w:proofErr w:type="gramEnd"/>
      <w:r>
        <w:rPr>
          <w:rFonts w:hint="eastAsia"/>
        </w:rPr>
        <w:t>部门本级项目，投资额在</w:t>
      </w:r>
      <w:r>
        <w:rPr>
          <w:rFonts w:hint="eastAsia"/>
        </w:rPr>
        <w:t>60</w:t>
      </w:r>
      <w:r>
        <w:rPr>
          <w:rFonts w:hint="eastAsia"/>
        </w:rPr>
        <w:t>万元</w:t>
      </w:r>
      <w:r>
        <w:rPr>
          <w:rFonts w:hint="eastAsia"/>
        </w:rPr>
        <w:t>(</w:t>
      </w:r>
      <w:r>
        <w:rPr>
          <w:rFonts w:hint="eastAsia"/>
        </w:rPr>
        <w:t>不含</w:t>
      </w:r>
      <w:r>
        <w:rPr>
          <w:rFonts w:hint="eastAsia"/>
        </w:rPr>
        <w:t>60</w:t>
      </w:r>
      <w:r>
        <w:rPr>
          <w:rFonts w:hint="eastAsia"/>
        </w:rPr>
        <w:t>万元</w:t>
      </w:r>
      <w:r>
        <w:rPr>
          <w:rFonts w:hint="eastAsia"/>
        </w:rPr>
        <w:t>)</w:t>
      </w:r>
      <w:r>
        <w:rPr>
          <w:rFonts w:hint="eastAsia"/>
        </w:rPr>
        <w:t>以上的项目，以及区级社会团体、区管国有及国有控股企业使用财政资金的非经营性项目和使用财政资金占项目资本比例超过</w:t>
      </w:r>
      <w:r>
        <w:rPr>
          <w:rFonts w:hint="eastAsia"/>
        </w:rPr>
        <w:t>50%</w:t>
      </w:r>
      <w:r>
        <w:rPr>
          <w:rFonts w:hint="eastAsia"/>
        </w:rPr>
        <w:t>的经营性项目。镇、街道（景区）负责实施的项目不再由区财政部门进行投资评审。</w:t>
      </w:r>
    </w:p>
    <w:p w:rsidR="00951A07" w:rsidRDefault="00E310B3" w:rsidP="00460A59">
      <w:pPr>
        <w:ind w:firstLine="640"/>
      </w:pPr>
      <w:r>
        <w:rPr>
          <w:rFonts w:hint="eastAsia"/>
        </w:rPr>
        <w:t>三是修改了工作程序，由以往的书面报告区政府批准后，送财政部门评审修改为统一通过政府</w:t>
      </w:r>
      <w:r>
        <w:rPr>
          <w:rFonts w:hint="eastAsia"/>
        </w:rPr>
        <w:t>OA</w:t>
      </w:r>
      <w:r>
        <w:rPr>
          <w:rFonts w:hint="eastAsia"/>
        </w:rPr>
        <w:t>电子化系统由区政府批准后，送财政部门评审。</w:t>
      </w:r>
    </w:p>
    <w:p w:rsidR="00951A07" w:rsidRDefault="00E310B3" w:rsidP="00460A59">
      <w:pPr>
        <w:ind w:firstLine="640"/>
      </w:pPr>
      <w:r>
        <w:rPr>
          <w:rFonts w:hint="eastAsia"/>
        </w:rPr>
        <w:t>四是添加了投资评审报送资料的有关条款，对资料的真实性、合法性、完整度作了明确规定。</w:t>
      </w:r>
    </w:p>
    <w:p w:rsidR="00951A07" w:rsidRDefault="00951A07" w:rsidP="00951A07">
      <w:pPr>
        <w:ind w:firstLine="640"/>
      </w:pPr>
    </w:p>
    <w:sectPr w:rsidR="00951A07" w:rsidSect="00460A59">
      <w:headerReference w:type="default" r:id="rId9"/>
      <w:footerReference w:type="default" r:id="rId10"/>
      <w:pgSz w:w="11906" w:h="16838"/>
      <w:pgMar w:top="2155" w:right="1474" w:bottom="2041" w:left="1588" w:header="851" w:footer="992"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10B3" w:rsidRDefault="00E310B3">
      <w:pPr>
        <w:spacing w:line="240" w:lineRule="auto"/>
        <w:ind w:firstLine="640"/>
      </w:pPr>
      <w:r>
        <w:separator/>
      </w:r>
    </w:p>
  </w:endnote>
  <w:endnote w:type="continuationSeparator" w:id="0">
    <w:p w:rsidR="00E310B3" w:rsidRDefault="00E310B3">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A07" w:rsidRDefault="00E310B3">
    <w:pPr>
      <w:pStyle w:val="a3"/>
      <w:ind w:firstLineChars="0" w:firstLine="0"/>
    </w:pPr>
    <w:r>
      <w:rPr>
        <w:noProof/>
      </w:rPr>
      <mc:AlternateContent>
        <mc:Choice Requires="wps">
          <w:drawing>
            <wp:anchor distT="0" distB="0" distL="114300" distR="114300" simplePos="0" relativeHeight="251659264" behindDoc="0" locked="0" layoutInCell="1" allowOverlap="1" wp14:anchorId="5BE151A6" wp14:editId="6E062784">
              <wp:simplePos x="0" y="0"/>
              <wp:positionH relativeFrom="margin">
                <wp:align>center</wp:align>
              </wp:positionH>
              <wp:positionV relativeFrom="page">
                <wp:posOffset>9421495</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951A07" w:rsidRDefault="00E310B3" w:rsidP="00460A59">
                          <w:pPr>
                            <w:pStyle w:val="a3"/>
                            <w:ind w:firstLine="560"/>
                            <w:rPr>
                              <w:rFonts w:ascii="宋体" w:eastAsia="宋体" w:hAnsi="宋体" w:cs="宋体"/>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803BE4">
                            <w:rPr>
                              <w:rFonts w:ascii="宋体" w:eastAsia="宋体" w:hAnsi="宋体" w:cs="宋体"/>
                              <w:noProof/>
                              <w:sz w:val="28"/>
                              <w:szCs w:val="28"/>
                            </w:rPr>
                            <w:t>- 2 -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26" type="#_x0000_t202" style="position:absolute;margin-left:0;margin-top:741.85pt;width:2in;height:2in;z-index:251659264;visibility:visible;mso-wrap-style:none;mso-wrap-distance-left:9pt;mso-wrap-distance-top:0;mso-wrap-distance-right:9pt;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CpVHQIAABUEAAAOAAAAZHJzL2Uyb0RvYy54bWysU82O0zAQviPxDpbvNGkRu1XVdFV2VYRU&#10;sSsVxNl1nCaS/2S7TcoDwBtw4sKd5+pz8NlpumiXE+Jijz3jzzPffDO/6ZQkB+F8Y3RBx6OcEqG5&#10;KRu9K+inj6tXU0p8YLpk0mhR0KPw9Gbx8sW8tTMxMbWRpXAEINrPWlvQOgQ7yzLPa6GYHxkrNJyV&#10;cYoFHN0uKx1rga5kNsnzq6w1rrTOcOE9bu96J10k/KoSPNxXlReByIIit5BWl9ZtXLPFnM12jtm6&#10;4ec02D9koVij8ekF6o4FRvaueQalGu6MN1UYcaMyU1UNF6kGVDPOn1SzqZkVqRaQ4+2FJv//YPmH&#10;w4MjTVnQa0o0U2jR6fu3049fp59fyXWkp7V+hqiNRVzo3poObR7uPS5j1V3lVNxRD4EfRB8v5Iou&#10;EB4fTSfTaQ4Xh284AD97fG6dD++EUSQaBXXoXiKVHdY+9KFDSPxNm1UjZeqg1KQt6NXrN3l6cPEA&#10;XOoYK5IWzjCxpD71aIVu253r3JryiDKd6XXiLV81SGXNfHhgDsJA+hB7uMdSSYMvzdmipDbuy9/u&#10;Yzz6BS8lLYRWUI1JoES+1+hj1ORguMHYDobeq1sD5Y4xRJYnEw9ckINZOaM+YwKW8Q+4mOb4qaBh&#10;MG9DL3ZMEBfLZQqC8iwLa72xPEJHerxd7gPoTCxHUnom0J14gPZSn85zEsX95zlFPU7z4jcAAAD/&#10;/wMAUEsDBBQABgAIAAAAIQBcQ6XC3QAAAAoBAAAPAAAAZHJzL2Rvd25yZXYueG1sTI/NTsMwEITv&#10;SLyDtUjcqNMfkSjEqaAiHJFoOHB04yVJG68j203D27Oc6HG/Gc3OFNvZDmJCH3pHCpaLBARS40xP&#10;rYLPunrIQISoyejBESr4wQDb8vam0LlxF/rAaR9bwSEUcq2gi3HMpQxNh1aHhRuRWPt23urIp2+l&#10;8frC4XaQqyR5lFb3xB86PeKuw+a0P1sFu6qu/YTBD1/4Vq2P7y8bfJ2Vur+bn59ARJzjvxn+6nN1&#10;KLnTwZ3JBDEo4CGR6SZbpyBYX2UZowOjNF2mIMtCXk8ofwEAAP//AwBQSwECLQAUAAYACAAAACEA&#10;toM4kv4AAADhAQAAEwAAAAAAAAAAAAAAAAAAAAAAW0NvbnRlbnRfVHlwZXNdLnhtbFBLAQItABQA&#10;BgAIAAAAIQA4/SH/1gAAAJQBAAALAAAAAAAAAAAAAAAAAC8BAABfcmVscy8ucmVsc1BLAQItABQA&#10;BgAIAAAAIQCZACpVHQIAABUEAAAOAAAAAAAAAAAAAAAAAC4CAABkcnMvZTJvRG9jLnhtbFBLAQIt&#10;ABQABgAIAAAAIQBcQ6XC3QAAAAoBAAAPAAAAAAAAAAAAAAAAAHcEAABkcnMvZG93bnJldi54bWxQ&#10;SwUGAAAAAAQABADzAAAAgQUAAAAA&#10;" filled="f" stroked="f" strokeweight=".5pt">
              <v:textbox style="mso-fit-shape-to-text:t" inset="0,0,0,0">
                <w:txbxContent>
                  <w:p w:rsidR="00951A07" w:rsidRDefault="00E310B3" w:rsidP="00460A59">
                    <w:pPr>
                      <w:pStyle w:val="a3"/>
                      <w:ind w:firstLine="560"/>
                      <w:rPr>
                        <w:rFonts w:ascii="宋体" w:eastAsia="宋体" w:hAnsi="宋体" w:cs="宋体"/>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803BE4">
                      <w:rPr>
                        <w:rFonts w:ascii="宋体" w:eastAsia="宋体" w:hAnsi="宋体" w:cs="宋体"/>
                        <w:noProof/>
                        <w:sz w:val="28"/>
                        <w:szCs w:val="28"/>
                      </w:rPr>
                      <w:t>- 2 -</w:t>
                    </w:r>
                    <w:r>
                      <w:rPr>
                        <w:rFonts w:ascii="宋体" w:eastAsia="宋体" w:hAnsi="宋体" w:cs="宋体" w:hint="eastAsia"/>
                        <w:sz w:val="28"/>
                        <w:szCs w:val="28"/>
                      </w:rPr>
                      <w:fldChar w:fldCharType="end"/>
                    </w:r>
                  </w:p>
                </w:txbxContent>
              </v:textbox>
              <w10:wrap anchorx="margin"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10B3" w:rsidRDefault="00E310B3">
      <w:pPr>
        <w:spacing w:line="240" w:lineRule="auto"/>
        <w:ind w:firstLine="640"/>
      </w:pPr>
      <w:r>
        <w:separator/>
      </w:r>
    </w:p>
  </w:footnote>
  <w:footnote w:type="continuationSeparator" w:id="0">
    <w:p w:rsidR="00E310B3" w:rsidRDefault="00E310B3">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A07" w:rsidRDefault="00951A07">
    <w:pPr>
      <w:pStyle w:val="a4"/>
      <w:ind w:firstLineChars="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0D5D05D"/>
    <w:multiLevelType w:val="singleLevel"/>
    <w:tmpl w:val="E0D5D05D"/>
    <w:lvl w:ilvl="0">
      <w:start w:val="1"/>
      <w:numFmt w:val="chineseCounting"/>
      <w:pStyle w:val="3"/>
      <w:suff w:val="nothing"/>
      <w:lvlText w:val="（%1）"/>
      <w:lvlJc w:val="left"/>
      <w:pPr>
        <w:ind w:left="0" w:firstLine="420"/>
      </w:pPr>
      <w:rPr>
        <w:rFonts w:hint="eastAsia"/>
      </w:rPr>
    </w:lvl>
  </w:abstractNum>
  <w:abstractNum w:abstractNumId="1">
    <w:nsid w:val="038F3A51"/>
    <w:multiLevelType w:val="singleLevel"/>
    <w:tmpl w:val="038F3A51"/>
    <w:lvl w:ilvl="0">
      <w:start w:val="1"/>
      <w:numFmt w:val="chineseCounting"/>
      <w:pStyle w:val="2"/>
      <w:suff w:val="nothing"/>
      <w:lvlText w:val="%1、"/>
      <w:lvlJc w:val="left"/>
      <w:pPr>
        <w:ind w:left="0" w:firstLine="420"/>
      </w:pPr>
      <w:rPr>
        <w:rFonts w:hint="eastAsia"/>
      </w:rPr>
    </w:lvl>
  </w:abstractNum>
  <w:abstractNum w:abstractNumId="2">
    <w:nsid w:val="7EC60A9E"/>
    <w:multiLevelType w:val="singleLevel"/>
    <w:tmpl w:val="7EC60A9E"/>
    <w:lvl w:ilvl="0">
      <w:start w:val="1"/>
      <w:numFmt w:val="decimal"/>
      <w:pStyle w:val="4"/>
      <w:lvlText w:val="%1."/>
      <w:lvlJc w:val="left"/>
      <w:pPr>
        <w:tabs>
          <w:tab w:val="left" w:pos="0"/>
        </w:tabs>
        <w:ind w:left="425" w:hanging="425"/>
      </w:pPr>
      <w:rPr>
        <w:rFonts w:ascii="楷体_GB2312" w:eastAsia="楷体_GB2312" w:hAnsi="楷体_GB2312" w:cs="楷体_GB2312" w:hint="default"/>
        <w:sz w:val="32"/>
        <w:szCs w:val="32"/>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grammar="clean"/>
  <w:attachedTemplate r:id="rId1"/>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5C5B7D"/>
    <w:rsid w:val="00460A59"/>
    <w:rsid w:val="00803BE4"/>
    <w:rsid w:val="00951A07"/>
    <w:rsid w:val="00E310B3"/>
    <w:rsid w:val="014248AF"/>
    <w:rsid w:val="06AC4FC9"/>
    <w:rsid w:val="155968AD"/>
    <w:rsid w:val="17157BF9"/>
    <w:rsid w:val="17515516"/>
    <w:rsid w:val="22770BED"/>
    <w:rsid w:val="369222EB"/>
    <w:rsid w:val="635C5B7D"/>
    <w:rsid w:val="67A748C5"/>
    <w:rsid w:val="6D3058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line="600" w:lineRule="exact"/>
      <w:ind w:firstLineChars="200" w:firstLine="420"/>
      <w:jc w:val="both"/>
    </w:pPr>
    <w:rPr>
      <w:rFonts w:ascii="仿宋_GB2312" w:eastAsia="仿宋_GB2312" w:hAnsi="仿宋_GB2312"/>
      <w:kern w:val="2"/>
      <w:sz w:val="32"/>
      <w:szCs w:val="24"/>
    </w:rPr>
  </w:style>
  <w:style w:type="paragraph" w:styleId="1">
    <w:name w:val="heading 1"/>
    <w:basedOn w:val="a"/>
    <w:next w:val="a"/>
    <w:qFormat/>
    <w:pPr>
      <w:keepNext/>
      <w:keepLines/>
      <w:ind w:firstLineChars="0" w:firstLine="0"/>
      <w:jc w:val="center"/>
      <w:outlineLvl w:val="0"/>
    </w:pPr>
    <w:rPr>
      <w:rFonts w:ascii="方正小标宋简体" w:eastAsia="方正小标宋简体" w:hAnsi="方正小标宋简体"/>
      <w:kern w:val="44"/>
      <w:sz w:val="44"/>
    </w:rPr>
  </w:style>
  <w:style w:type="paragraph" w:styleId="2">
    <w:name w:val="heading 2"/>
    <w:basedOn w:val="a"/>
    <w:next w:val="a"/>
    <w:unhideWhenUsed/>
    <w:qFormat/>
    <w:pPr>
      <w:keepNext/>
      <w:keepLines/>
      <w:numPr>
        <w:numId w:val="1"/>
      </w:numPr>
      <w:outlineLvl w:val="1"/>
    </w:pPr>
    <w:rPr>
      <w:rFonts w:ascii="黑体" w:eastAsia="黑体" w:hAnsi="黑体"/>
    </w:rPr>
  </w:style>
  <w:style w:type="paragraph" w:styleId="3">
    <w:name w:val="heading 3"/>
    <w:basedOn w:val="a"/>
    <w:next w:val="a"/>
    <w:unhideWhenUsed/>
    <w:qFormat/>
    <w:pPr>
      <w:keepNext/>
      <w:keepLines/>
      <w:numPr>
        <w:numId w:val="2"/>
      </w:numPr>
      <w:outlineLvl w:val="2"/>
    </w:pPr>
    <w:rPr>
      <w:rFonts w:ascii="Times New Roman" w:eastAsia="楷体_GB2312" w:hAnsi="Times New Roman"/>
      <w:b/>
    </w:rPr>
  </w:style>
  <w:style w:type="paragraph" w:styleId="4">
    <w:name w:val="heading 4"/>
    <w:basedOn w:val="a"/>
    <w:next w:val="a"/>
    <w:unhideWhenUsed/>
    <w:qFormat/>
    <w:pPr>
      <w:keepNext/>
      <w:keepLines/>
      <w:numPr>
        <w:numId w:val="3"/>
      </w:numPr>
      <w:ind w:left="0"/>
      <w:jc w:val="left"/>
      <w:outlineLvl w:val="3"/>
    </w:pPr>
    <w:rPr>
      <w:rFonts w:ascii="楷体_GB2312" w:eastAsia="楷体_GB2312" w:hAnsi="楷体_GB2312"/>
      <w:b/>
    </w:rPr>
  </w:style>
  <w:style w:type="paragraph" w:styleId="5">
    <w:name w:val="heading 5"/>
    <w:basedOn w:val="a"/>
    <w:next w:val="a"/>
    <w:link w:val="5Char"/>
    <w:unhideWhenUsed/>
    <w:qFormat/>
    <w:pPr>
      <w:keepNext/>
      <w:keepLines/>
      <w:outlineLvl w:val="4"/>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character" w:customStyle="1" w:styleId="5Char">
    <w:name w:val="标题 5 Char"/>
    <w:link w:val="5"/>
    <w:rPr>
      <w:rFonts w:ascii="仿宋_GB2312" w:hAnsi="仿宋_GB2312"/>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line="600" w:lineRule="exact"/>
      <w:ind w:firstLineChars="200" w:firstLine="420"/>
      <w:jc w:val="both"/>
    </w:pPr>
    <w:rPr>
      <w:rFonts w:ascii="仿宋_GB2312" w:eastAsia="仿宋_GB2312" w:hAnsi="仿宋_GB2312"/>
      <w:kern w:val="2"/>
      <w:sz w:val="32"/>
      <w:szCs w:val="24"/>
    </w:rPr>
  </w:style>
  <w:style w:type="paragraph" w:styleId="1">
    <w:name w:val="heading 1"/>
    <w:basedOn w:val="a"/>
    <w:next w:val="a"/>
    <w:qFormat/>
    <w:pPr>
      <w:keepNext/>
      <w:keepLines/>
      <w:ind w:firstLineChars="0" w:firstLine="0"/>
      <w:jc w:val="center"/>
      <w:outlineLvl w:val="0"/>
    </w:pPr>
    <w:rPr>
      <w:rFonts w:ascii="方正小标宋简体" w:eastAsia="方正小标宋简体" w:hAnsi="方正小标宋简体"/>
      <w:kern w:val="44"/>
      <w:sz w:val="44"/>
    </w:rPr>
  </w:style>
  <w:style w:type="paragraph" w:styleId="2">
    <w:name w:val="heading 2"/>
    <w:basedOn w:val="a"/>
    <w:next w:val="a"/>
    <w:unhideWhenUsed/>
    <w:qFormat/>
    <w:pPr>
      <w:keepNext/>
      <w:keepLines/>
      <w:numPr>
        <w:numId w:val="1"/>
      </w:numPr>
      <w:outlineLvl w:val="1"/>
    </w:pPr>
    <w:rPr>
      <w:rFonts w:ascii="黑体" w:eastAsia="黑体" w:hAnsi="黑体"/>
    </w:rPr>
  </w:style>
  <w:style w:type="paragraph" w:styleId="3">
    <w:name w:val="heading 3"/>
    <w:basedOn w:val="a"/>
    <w:next w:val="a"/>
    <w:unhideWhenUsed/>
    <w:qFormat/>
    <w:pPr>
      <w:keepNext/>
      <w:keepLines/>
      <w:numPr>
        <w:numId w:val="2"/>
      </w:numPr>
      <w:outlineLvl w:val="2"/>
    </w:pPr>
    <w:rPr>
      <w:rFonts w:ascii="Times New Roman" w:eastAsia="楷体_GB2312" w:hAnsi="Times New Roman"/>
      <w:b/>
    </w:rPr>
  </w:style>
  <w:style w:type="paragraph" w:styleId="4">
    <w:name w:val="heading 4"/>
    <w:basedOn w:val="a"/>
    <w:next w:val="a"/>
    <w:unhideWhenUsed/>
    <w:qFormat/>
    <w:pPr>
      <w:keepNext/>
      <w:keepLines/>
      <w:numPr>
        <w:numId w:val="3"/>
      </w:numPr>
      <w:ind w:left="0"/>
      <w:jc w:val="left"/>
      <w:outlineLvl w:val="3"/>
    </w:pPr>
    <w:rPr>
      <w:rFonts w:ascii="楷体_GB2312" w:eastAsia="楷体_GB2312" w:hAnsi="楷体_GB2312"/>
      <w:b/>
    </w:rPr>
  </w:style>
  <w:style w:type="paragraph" w:styleId="5">
    <w:name w:val="heading 5"/>
    <w:basedOn w:val="a"/>
    <w:next w:val="a"/>
    <w:link w:val="5Char"/>
    <w:unhideWhenUsed/>
    <w:qFormat/>
    <w:pPr>
      <w:keepNext/>
      <w:keepLines/>
      <w:outlineLvl w:val="4"/>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character" w:customStyle="1" w:styleId="5Char">
    <w:name w:val="标题 5 Char"/>
    <w:link w:val="5"/>
    <w:rPr>
      <w:rFonts w:ascii="仿宋_GB2312" w:hAnsi="仿宋_GB2312"/>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40857;&#36130;&#20889;&#20316;&#27169;&#26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龙财写作模板.dot</Template>
  <TotalTime>1</TotalTime>
  <Pages>3</Pages>
  <Words>182</Words>
  <Characters>1041</Characters>
  <Application>Microsoft Office Word</Application>
  <DocSecurity>0</DocSecurity>
  <Lines>8</Lines>
  <Paragraphs>2</Paragraphs>
  <ScaleCrop>false</ScaleCrop>
  <Company>Microsoft</Company>
  <LinksUpToDate>false</LinksUpToDate>
  <CharactersWithSpaces>1221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 J</dc:creator>
  <cp:lastModifiedBy>刘仲杰（财政局信息中心主任）</cp:lastModifiedBy>
  <cp:revision>3</cp:revision>
  <dcterms:created xsi:type="dcterms:W3CDTF">2025-09-10T01:27:00Z</dcterms:created>
  <dcterms:modified xsi:type="dcterms:W3CDTF">2025-09-10T01:28:00Z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F08E74EF72BD4591AA0DF5868856C7BB_11</vt:lpwstr>
  </property>
  <property fmtid="{D5CDD505-2E9C-101B-9397-08002B2CF9AE}" pid="4" name="KSOTemplateDocerSaveRecord">
    <vt:lpwstr>eyJoZGlkIjoiZmI0Y2Y4OGMyMGViMTVjNTM4M2Y3M2FmMDdiZDE0YTYiLCJ1c2VySWQiOiIzNTE5ODIzNTIifQ==</vt:lpwstr>
  </property>
</Properties>
</file>