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899C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9F72C15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卧龙区收回收购存量闲置土地申报表</w:t>
      </w:r>
    </w:p>
    <w:tbl>
      <w:tblPr>
        <w:tblStyle w:val="5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49"/>
        <w:gridCol w:w="1260"/>
        <w:gridCol w:w="1545"/>
        <w:gridCol w:w="1380"/>
        <w:gridCol w:w="1065"/>
        <w:gridCol w:w="1590"/>
        <w:gridCol w:w="4020"/>
        <w:gridCol w:w="1080"/>
      </w:tblGrid>
      <w:tr w14:paraId="14F9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196" w:type="dxa"/>
            <w:vMerge w:val="restart"/>
            <w:vAlign w:val="center"/>
          </w:tcPr>
          <w:p w14:paraId="537386E8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土地</w:t>
            </w:r>
          </w:p>
          <w:p w14:paraId="2AF670A5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权利人</w:t>
            </w:r>
          </w:p>
        </w:tc>
        <w:tc>
          <w:tcPr>
            <w:tcW w:w="1249" w:type="dxa"/>
            <w:vMerge w:val="restart"/>
            <w:vAlign w:val="center"/>
          </w:tcPr>
          <w:p w14:paraId="57C37478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color w:val="525353"/>
              </w:rPr>
              <w:t>土地坐落</w:t>
            </w:r>
          </w:p>
        </w:tc>
        <w:tc>
          <w:tcPr>
            <w:tcW w:w="1260" w:type="dxa"/>
            <w:vMerge w:val="restart"/>
            <w:vAlign w:val="center"/>
          </w:tcPr>
          <w:p w14:paraId="2C515C84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color w:val="525353"/>
              </w:rPr>
              <w:t>土地用途</w:t>
            </w:r>
          </w:p>
        </w:tc>
        <w:tc>
          <w:tcPr>
            <w:tcW w:w="1545" w:type="dxa"/>
            <w:vMerge w:val="restart"/>
            <w:vAlign w:val="center"/>
          </w:tcPr>
          <w:p w14:paraId="60EC7670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出让合同</w:t>
            </w:r>
          </w:p>
          <w:p w14:paraId="3A489378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电子监管号</w:t>
            </w:r>
          </w:p>
        </w:tc>
        <w:tc>
          <w:tcPr>
            <w:tcW w:w="4035" w:type="dxa"/>
            <w:gridSpan w:val="3"/>
            <w:vAlign w:val="center"/>
          </w:tcPr>
          <w:p w14:paraId="3AF5B4FA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申报收回收购</w:t>
            </w:r>
            <w:r>
              <w:rPr>
                <w:rFonts w:ascii="Times New Roman" w:hAnsi="Times New Roman" w:eastAsia="黑体"/>
                <w:color w:val="525353"/>
              </w:rPr>
              <w:t>地块</w:t>
            </w:r>
          </w:p>
        </w:tc>
        <w:tc>
          <w:tcPr>
            <w:tcW w:w="4020" w:type="dxa"/>
            <w:vMerge w:val="restart"/>
            <w:vAlign w:val="center"/>
          </w:tcPr>
          <w:p w14:paraId="63E7B6F0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color w:val="525353"/>
              </w:rPr>
              <w:t>申报条件</w:t>
            </w:r>
          </w:p>
        </w:tc>
        <w:tc>
          <w:tcPr>
            <w:tcW w:w="1080" w:type="dxa"/>
            <w:vMerge w:val="restart"/>
            <w:vAlign w:val="center"/>
          </w:tcPr>
          <w:p w14:paraId="26B5488E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color w:val="525353"/>
              </w:rPr>
              <w:t>备注</w:t>
            </w:r>
          </w:p>
        </w:tc>
      </w:tr>
      <w:tr w14:paraId="0660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96" w:type="dxa"/>
            <w:vMerge w:val="continue"/>
            <w:vAlign w:val="center"/>
          </w:tcPr>
          <w:p w14:paraId="515EF60E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29F73ED8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8F94F9C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181B3D3A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</w:p>
        </w:tc>
        <w:tc>
          <w:tcPr>
            <w:tcW w:w="1380" w:type="dxa"/>
            <w:vAlign w:val="center"/>
          </w:tcPr>
          <w:p w14:paraId="76086FD5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ascii="Times New Roman" w:hAnsi="Times New Roman" w:eastAsia="黑体"/>
                <w:color w:val="525353"/>
              </w:rPr>
              <w:t>土地面积</w:t>
            </w:r>
          </w:p>
          <w:p w14:paraId="2337D639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（平方米</w:t>
            </w:r>
            <w:r>
              <w:rPr>
                <w:rFonts w:ascii="Times New Roman" w:hAnsi="Times New Roman" w:eastAsia="黑体"/>
                <w:color w:val="525353"/>
              </w:rPr>
              <w:t>）</w:t>
            </w:r>
          </w:p>
        </w:tc>
        <w:tc>
          <w:tcPr>
            <w:tcW w:w="1065" w:type="dxa"/>
            <w:vAlign w:val="center"/>
          </w:tcPr>
          <w:p w14:paraId="3FFA5A69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ascii="Times New Roman" w:hAnsi="Times New Roman" w:eastAsia="黑体"/>
                <w:color w:val="525353"/>
              </w:rPr>
              <w:t>已投入</w:t>
            </w:r>
          </w:p>
          <w:p w14:paraId="544E6EB7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ascii="Times New Roman" w:hAnsi="Times New Roman" w:eastAsia="黑体"/>
                <w:color w:val="525353"/>
              </w:rPr>
              <w:t>（万元）</w:t>
            </w:r>
          </w:p>
        </w:tc>
        <w:tc>
          <w:tcPr>
            <w:tcW w:w="1590" w:type="dxa"/>
            <w:vAlign w:val="center"/>
          </w:tcPr>
          <w:p w14:paraId="1DFD0F12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意向收购价</w:t>
            </w:r>
          </w:p>
          <w:p w14:paraId="2D5C22C5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  <w:r>
              <w:rPr>
                <w:rFonts w:hint="eastAsia" w:ascii="Times New Roman" w:hAnsi="Times New Roman" w:eastAsia="黑体"/>
                <w:color w:val="525353"/>
              </w:rPr>
              <w:t>（万元）</w:t>
            </w:r>
          </w:p>
        </w:tc>
        <w:tc>
          <w:tcPr>
            <w:tcW w:w="4020" w:type="dxa"/>
            <w:vMerge w:val="continue"/>
            <w:vAlign w:val="center"/>
          </w:tcPr>
          <w:p w14:paraId="76C538DE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E3AABAB">
            <w:pPr>
              <w:pStyle w:val="3"/>
              <w:widowControl/>
              <w:wordWrap w:val="0"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color w:val="525353"/>
              </w:rPr>
            </w:pPr>
          </w:p>
        </w:tc>
      </w:tr>
      <w:tr w14:paraId="2EAC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196" w:type="dxa"/>
            <w:vAlign w:val="center"/>
          </w:tcPr>
          <w:p w14:paraId="73F82981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249" w:type="dxa"/>
            <w:vAlign w:val="center"/>
          </w:tcPr>
          <w:p w14:paraId="286F65E8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260" w:type="dxa"/>
            <w:vAlign w:val="center"/>
          </w:tcPr>
          <w:p w14:paraId="4E1264A1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45" w:type="dxa"/>
            <w:vAlign w:val="center"/>
          </w:tcPr>
          <w:p w14:paraId="785D2604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380" w:type="dxa"/>
            <w:vAlign w:val="center"/>
          </w:tcPr>
          <w:p w14:paraId="12D11825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065" w:type="dxa"/>
            <w:vAlign w:val="center"/>
          </w:tcPr>
          <w:p w14:paraId="7096CA3C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90" w:type="dxa"/>
            <w:vAlign w:val="center"/>
          </w:tcPr>
          <w:p w14:paraId="6413B650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4020" w:type="dxa"/>
            <w:vAlign w:val="center"/>
          </w:tcPr>
          <w:p w14:paraId="3BDA164F">
            <w:pPr>
              <w:pStyle w:val="3"/>
              <w:widowControl/>
              <w:wordWrap w:val="0"/>
              <w:spacing w:beforeAutospacing="0" w:afterAutospacing="0" w:line="400" w:lineRule="exact"/>
              <w:rPr>
                <w:rFonts w:asciiTheme="minorEastAsia" w:hAnsiTheme="minorEastAsia"/>
                <w:color w:val="525353"/>
              </w:rPr>
            </w:pPr>
            <w:r>
              <w:rPr>
                <w:rFonts w:asciiTheme="minorEastAsia" w:hAnsiTheme="minorEastAsia"/>
                <w:color w:val="525353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525353"/>
              </w:rPr>
              <w:t xml:space="preserve">  </w:t>
            </w:r>
            <w:r>
              <w:rPr>
                <w:rFonts w:asciiTheme="minorEastAsia" w:hAnsiTheme="minorEastAsia"/>
                <w:color w:val="525353"/>
              </w:rPr>
              <w:t>在2024年</w:t>
            </w:r>
            <w:r>
              <w:rPr>
                <w:rFonts w:hint="eastAsia" w:asciiTheme="minorEastAsia" w:hAnsiTheme="minorEastAsia"/>
                <w:color w:val="525353"/>
              </w:rPr>
              <w:t>11</w:t>
            </w:r>
            <w:r>
              <w:rPr>
                <w:rFonts w:asciiTheme="minorEastAsia" w:hAnsiTheme="minorEastAsia"/>
                <w:color w:val="525353"/>
              </w:rPr>
              <w:t>月</w:t>
            </w:r>
            <w:r>
              <w:rPr>
                <w:rFonts w:hint="eastAsia" w:asciiTheme="minorEastAsia" w:hAnsiTheme="minorEastAsia"/>
                <w:color w:val="525353"/>
              </w:rPr>
              <w:t>7</w:t>
            </w:r>
            <w:r>
              <w:rPr>
                <w:rFonts w:asciiTheme="minorEastAsia" w:hAnsiTheme="minorEastAsia"/>
                <w:color w:val="525353"/>
              </w:rPr>
              <w:t>日之前供应的</w:t>
            </w:r>
          </w:p>
          <w:p w14:paraId="74543BD2">
            <w:pPr>
              <w:pStyle w:val="3"/>
              <w:widowControl/>
              <w:wordWrap w:val="0"/>
              <w:spacing w:beforeAutospacing="0" w:afterAutospacing="0"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525353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525353"/>
              </w:rPr>
              <w:t xml:space="preserve">  </w:t>
            </w:r>
            <w:r>
              <w:rPr>
                <w:rFonts w:asciiTheme="minorEastAsia" w:hAnsiTheme="minorEastAsia"/>
                <w:color w:val="525353"/>
              </w:rPr>
              <w:t>企业无力或无意愿继续开发、已供应未动工的住宅用地和商服用地</w:t>
            </w:r>
          </w:p>
          <w:p w14:paraId="4F87A4E7">
            <w:pPr>
              <w:pStyle w:val="3"/>
              <w:widowControl/>
              <w:wordWrap w:val="0"/>
              <w:spacing w:beforeAutospacing="0" w:afterAutospacing="0" w:line="400" w:lineRule="exact"/>
              <w:rPr>
                <w:rFonts w:cs="仿宋_GB2312" w:asciiTheme="minorEastAsia" w:hAnsiTheme="minorEastAsia"/>
              </w:rPr>
            </w:pPr>
            <w:r>
              <w:rPr>
                <w:rFonts w:asciiTheme="minorEastAsia" w:hAnsiTheme="minorEastAsia"/>
                <w:color w:val="525353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525353"/>
              </w:rPr>
              <w:t xml:space="preserve">  </w:t>
            </w:r>
            <w:r>
              <w:rPr>
                <w:rFonts w:asciiTheme="minorEastAsia" w:hAnsiTheme="minorEastAsia"/>
                <w:color w:val="525353"/>
              </w:rPr>
              <w:t>因低效用地再开发或基础设施建设等需要收回的土地</w:t>
            </w:r>
            <w:r>
              <w:rPr>
                <w:rFonts w:asciiTheme="minorEastAsia" w:hAnsiTheme="minorEastAsia"/>
                <w:color w:val="525353"/>
              </w:rPr>
              <w:br w:type="textWrapping"/>
            </w:r>
            <w:r>
              <w:rPr>
                <w:rFonts w:asciiTheme="minorEastAsia" w:hAnsiTheme="minorEastAsia"/>
                <w:color w:val="525353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525353"/>
              </w:rPr>
              <w:t xml:space="preserve">  </w:t>
            </w:r>
            <w:r>
              <w:rPr>
                <w:rFonts w:hint="eastAsia" w:cs="仿宋_GB2312" w:asciiTheme="minorEastAsia" w:hAnsiTheme="minorEastAsia"/>
              </w:rPr>
              <w:t>已动工地块中规划可分割暂未建设的土地；</w:t>
            </w:r>
          </w:p>
          <w:p w14:paraId="6F6C065C">
            <w:pPr>
              <w:pStyle w:val="3"/>
              <w:widowControl/>
              <w:wordWrap w:val="0"/>
              <w:spacing w:beforeAutospacing="0" w:afterAutospacing="0"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525353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525353"/>
              </w:rPr>
              <w:t xml:space="preserve">  </w:t>
            </w:r>
            <w:r>
              <w:rPr>
                <w:rFonts w:hint="eastAsia" w:cs="仿宋_GB2312" w:asciiTheme="minorEastAsia" w:hAnsiTheme="minorEastAsia"/>
              </w:rPr>
              <w:t>法律法规、规范性文件规定人民政府可以收回收购的土地。</w:t>
            </w:r>
          </w:p>
        </w:tc>
        <w:tc>
          <w:tcPr>
            <w:tcW w:w="1080" w:type="dxa"/>
            <w:vAlign w:val="center"/>
          </w:tcPr>
          <w:p w14:paraId="36B29BB1">
            <w:pPr>
              <w:pStyle w:val="3"/>
              <w:widowControl/>
              <w:wordWrap w:val="0"/>
              <w:spacing w:beforeAutospacing="0" w:afterAutospacing="0" w:line="360" w:lineRule="exact"/>
              <w:rPr>
                <w:rFonts w:ascii="Times New Roman" w:hAnsi="Times New Roman" w:eastAsia="宋体"/>
              </w:rPr>
            </w:pPr>
          </w:p>
        </w:tc>
      </w:tr>
    </w:tbl>
    <w:p w14:paraId="0F27FCFC">
      <w:pPr>
        <w:pStyle w:val="3"/>
        <w:widowControl/>
        <w:shd w:val="clear" w:color="auto" w:fill="FFFFFF"/>
        <w:spacing w:beforeAutospacing="0" w:afterAutospacing="0" w:line="400" w:lineRule="exact"/>
        <w:rPr>
          <w:rFonts w:ascii="Times New Roman" w:hAnsi="Times New Roman" w:eastAsia="宋体"/>
          <w:color w:val="525353"/>
        </w:rPr>
      </w:pPr>
      <w:r>
        <w:rPr>
          <w:rFonts w:ascii="Times New Roman" w:hAnsi="Times New Roman" w:eastAsia="宋体"/>
          <w:color w:val="525353"/>
          <w:shd w:val="clear" w:color="auto" w:fill="FFFFFF"/>
        </w:rPr>
        <w:t>申报企业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>（</w:t>
      </w:r>
      <w:r>
        <w:rPr>
          <w:rFonts w:ascii="Times New Roman" w:hAnsi="Times New Roman" w:eastAsia="宋体"/>
          <w:color w:val="525353"/>
          <w:shd w:val="clear" w:color="auto" w:fill="FFFFFF"/>
        </w:rPr>
        <w:t>盖章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>）</w:t>
      </w:r>
      <w:r>
        <w:rPr>
          <w:rFonts w:ascii="Times New Roman" w:hAnsi="Times New Roman" w:eastAsia="宋体"/>
          <w:color w:val="525353"/>
          <w:shd w:val="clear" w:color="auto" w:fill="FFFFFF"/>
        </w:rPr>
        <w:t xml:space="preserve">:                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 xml:space="preserve">            </w:t>
      </w:r>
      <w:r>
        <w:rPr>
          <w:rFonts w:ascii="Times New Roman" w:hAnsi="Times New Roman" w:eastAsia="宋体"/>
          <w:color w:val="525353"/>
          <w:shd w:val="clear" w:color="auto" w:fill="FFFFFF"/>
        </w:rPr>
        <w:t xml:space="preserve"> 联系人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>及职务</w:t>
      </w:r>
      <w:r>
        <w:rPr>
          <w:rFonts w:ascii="Times New Roman" w:hAnsi="Times New Roman" w:eastAsia="宋体"/>
          <w:color w:val="525353"/>
          <w:shd w:val="clear" w:color="auto" w:fill="FFFFFF"/>
        </w:rPr>
        <w:t xml:space="preserve">：        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 xml:space="preserve">              </w:t>
      </w:r>
      <w:r>
        <w:rPr>
          <w:rFonts w:ascii="Times New Roman" w:hAnsi="Times New Roman" w:eastAsia="宋体"/>
          <w:color w:val="525353"/>
          <w:shd w:val="clear" w:color="auto" w:fill="FFFFFF"/>
        </w:rPr>
        <w:t xml:space="preserve">     </w:t>
      </w:r>
      <w:r>
        <w:rPr>
          <w:rFonts w:hint="eastAsia" w:ascii="Times New Roman" w:hAnsi="Times New Roman" w:eastAsia="宋体"/>
          <w:color w:val="525353"/>
          <w:shd w:val="clear" w:color="auto" w:fill="FFFFFF"/>
        </w:rPr>
        <w:t xml:space="preserve">    </w:t>
      </w:r>
      <w:r>
        <w:rPr>
          <w:rFonts w:ascii="Times New Roman" w:hAnsi="Times New Roman" w:eastAsia="宋体"/>
          <w:color w:val="525353"/>
          <w:shd w:val="clear" w:color="auto" w:fill="FFFFFF"/>
        </w:rPr>
        <w:t xml:space="preserve"> 联系电话：</w:t>
      </w:r>
    </w:p>
    <w:p w14:paraId="72773DD6">
      <w:pPr>
        <w:pStyle w:val="3"/>
        <w:widowControl/>
        <w:shd w:val="clear" w:color="auto" w:fill="FFFFFF"/>
        <w:spacing w:beforeAutospacing="0" w:afterAutospacing="0" w:line="400" w:lineRule="exact"/>
        <w:rPr>
          <w:rFonts w:ascii="Times New Roman" w:hAnsi="Times New Roman" w:eastAsia="宋体"/>
          <w:color w:val="525353"/>
          <w:shd w:val="clear" w:color="auto" w:fill="FFFFFF"/>
        </w:rPr>
      </w:pPr>
    </w:p>
    <w:p w14:paraId="1B3FAD99">
      <w:pPr>
        <w:pStyle w:val="3"/>
        <w:widowControl/>
        <w:shd w:val="clear" w:color="auto" w:fill="FFFFFF"/>
        <w:spacing w:beforeAutospacing="0" w:afterAutospacing="0" w:line="400" w:lineRule="exact"/>
        <w:rPr>
          <w:rFonts w:ascii="Times New Roman" w:hAnsi="Times New Roman" w:eastAsia="宋体"/>
          <w:color w:val="525353"/>
        </w:rPr>
      </w:pPr>
      <w:r>
        <w:rPr>
          <w:rFonts w:ascii="Times New Roman" w:hAnsi="Times New Roman" w:eastAsia="宋体"/>
          <w:color w:val="525353"/>
          <w:shd w:val="clear" w:color="auto" w:fill="FFFFFF"/>
        </w:rPr>
        <w:t>备注：每宗地块对应申报一份申报表，如企业有多宗地块，请分开填报。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BE9191-99F9-41A4-8522-D2D9E7B13B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233931D-25BE-4F77-97C2-815B3581DD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A78190F-1A64-4460-9790-B0995CE78A4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D9BB7DB-AFE4-4F53-BD30-B072E2F0B5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F5A3293"/>
    <w:rsid w:val="001068B2"/>
    <w:rsid w:val="00117036"/>
    <w:rsid w:val="001C2433"/>
    <w:rsid w:val="005F2FA8"/>
    <w:rsid w:val="006734C3"/>
    <w:rsid w:val="0074212B"/>
    <w:rsid w:val="00A53460"/>
    <w:rsid w:val="00B60A70"/>
    <w:rsid w:val="00B81098"/>
    <w:rsid w:val="00C05318"/>
    <w:rsid w:val="1F5A3293"/>
    <w:rsid w:val="548341F5"/>
    <w:rsid w:val="786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1066</Words>
  <Characters>1125</Characters>
  <Lines>10</Lines>
  <Paragraphs>2</Paragraphs>
  <TotalTime>9</TotalTime>
  <ScaleCrop>false</ScaleCrop>
  <LinksUpToDate>false</LinksUpToDate>
  <CharactersWithSpaces>1201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2025-02-24T00:35:00Z</dcterms:created>
  <dc:creator>储备中心</dc:creator>
  <cp:lastModifiedBy>豆腐花哥德</cp:lastModifiedBy>
  <dcterms:modified xsi:type="dcterms:W3CDTF">2025-05-23T09:18:32Z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402DC12F13384538BB2C8D3FB60B9AD6_11</vt:lpwstr>
  </property>
  <property fmtid="{D5CDD505-2E9C-101B-9397-08002B2CF9AE}" pid="4" name="KSOTemplateDocerSaveRecord">
    <vt:lpwstr>eyJoZGlkIjoiZmQyOTg0YmNkNTkzZTZkYjZmMWQ4ZDJmZGQ0M2JmMTMiLCJ1c2VySWQiOiI1NzgwOTM5MTgifQ==</vt:lpwstr>
  </property>
</Properties>
</file>