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13</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cs="Times New Roman"/>
                <w:b/>
                <w:color w:val="000000"/>
                <w:sz w:val="32"/>
                <w:szCs w:val="32"/>
                <w:lang w:eastAsia="zh-CN"/>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南阳市益弘实业有限公司年产</w:t>
            </w:r>
            <w:r>
              <w:rPr>
                <w:rFonts w:hint="eastAsia" w:ascii="宋体" w:hAnsi="宋体" w:cs="Times New Roman"/>
                <w:b/>
                <w:color w:val="000000"/>
                <w:sz w:val="32"/>
                <w:szCs w:val="32"/>
                <w:lang w:val="en-US" w:eastAsia="zh-CN"/>
              </w:rPr>
              <w:t>4000吨铸件</w:t>
            </w:r>
            <w:r>
              <w:rPr>
                <w:rFonts w:hint="eastAsia" w:ascii="宋体" w:hAnsi="宋体" w:cs="Times New Roman"/>
                <w:b/>
                <w:color w:val="000000"/>
                <w:sz w:val="32"/>
                <w:szCs w:val="32"/>
                <w:lang w:eastAsia="zh-CN"/>
              </w:rPr>
              <w:t>项目</w:t>
            </w: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根据南阳市益诚环保科技有限公司编制的《南阳市益弘实业有限公司年产4000吨铸件项目环境影响报告表》（以下简称《报告表》)，经研究，现对《报告表》提出如下批复意见：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二、严格落实大气污染防治措施，确保各类废气污染物达标排放，确保对周边环境的影响在可接受范围之内。建设项目废气颗粒物排放满足《工业炉窑大气污染物排放标准》（DB41/</w:t>
            </w:r>
            <w:bookmarkStart w:id="0" w:name="_GoBack"/>
            <w:bookmarkEnd w:id="0"/>
            <w:r>
              <w:rPr>
                <w:rFonts w:hint="eastAsia" w:ascii="楷体" w:hAnsi="楷体" w:eastAsia="楷体" w:cs="楷体"/>
                <w:color w:val="auto"/>
                <w:kern w:val="0"/>
                <w:sz w:val="28"/>
                <w:szCs w:val="28"/>
                <w:highlight w:val="none"/>
                <w:lang w:val="en-US" w:eastAsia="zh-CN" w:bidi="ar-SA"/>
              </w:rPr>
              <w:t>1066-2020）、《铸造工业大气污染物排放标准》(GB39726-2020)、《河南省2019年铸造行业污染治理方案》、《重污染天气重点行业应急减排措施制定技术指南》（2020年修订版）中铸造企业绩效分级指标A级要求；VOCs排放满足《大气污染物综合排放标准》（GB16297-1996）、《挥发性有机物无组织排放控制标准》(GB37822-2019)及《关于全省开展工业企业挥发性有机物专项治理工作中排放建议值的通知》（豫环攻坚办[2017]162号）要求。</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三、项目生产废水循环使用不外排，生活污水经化粪池处理后排入市政管网，污水排放满足足《污水综合排放标准》（GB8978-1996）表4三级标准及王村污水处理厂进水水质指标。</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7</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none"/>
                <w:lang w:val="en-US" w:eastAsia="zh-CN"/>
              </w:rPr>
              <w:t>24</w:t>
            </w:r>
            <w:r>
              <w:rPr>
                <w:rFonts w:hint="eastAsia" w:ascii="楷体_GB2312" w:hAnsi="Times New Roman" w:eastAsia="楷体_GB2312" w:cs="Times New Roman"/>
                <w:color w:val="auto"/>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2A71194"/>
    <w:rsid w:val="031E6B46"/>
    <w:rsid w:val="04010AAB"/>
    <w:rsid w:val="054D6435"/>
    <w:rsid w:val="070B64B1"/>
    <w:rsid w:val="0B0C17C6"/>
    <w:rsid w:val="0F15111F"/>
    <w:rsid w:val="1135302F"/>
    <w:rsid w:val="11601C38"/>
    <w:rsid w:val="13D20DBF"/>
    <w:rsid w:val="155511AA"/>
    <w:rsid w:val="1624357B"/>
    <w:rsid w:val="18D10954"/>
    <w:rsid w:val="19530A09"/>
    <w:rsid w:val="1D173611"/>
    <w:rsid w:val="1E147E5E"/>
    <w:rsid w:val="211F34E2"/>
    <w:rsid w:val="214503DB"/>
    <w:rsid w:val="222323E7"/>
    <w:rsid w:val="24E9401B"/>
    <w:rsid w:val="29EE2076"/>
    <w:rsid w:val="2A3D5D39"/>
    <w:rsid w:val="2BC8310F"/>
    <w:rsid w:val="2C640E09"/>
    <w:rsid w:val="2CD65158"/>
    <w:rsid w:val="3132147A"/>
    <w:rsid w:val="319365BA"/>
    <w:rsid w:val="31C756C5"/>
    <w:rsid w:val="3259581B"/>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4BF358C"/>
    <w:rsid w:val="65C56499"/>
    <w:rsid w:val="66AE3312"/>
    <w:rsid w:val="66FD57E1"/>
    <w:rsid w:val="6C25707F"/>
    <w:rsid w:val="6DCA7DEC"/>
    <w:rsid w:val="72D333F3"/>
    <w:rsid w:val="76A36EC4"/>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2025-07-08T01:32:00Z</cp:lastPrinted>
  <dcterms:modified xsi:type="dcterms:W3CDTF">2025-07-21T02:20:14Z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