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14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7" w:hRule="atLeast"/>
        </w:trPr>
        <w:tc>
          <w:tcPr>
            <w:tcW w:w="9648" w:type="dxa"/>
            <w:noWrap w:val="0"/>
            <w:vAlign w:val="top"/>
          </w:tcPr>
          <w:p>
            <w:pPr>
              <w:rPr>
                <w:rFonts w:hint="eastAsia"/>
              </w:rPr>
            </w:pPr>
          </w:p>
          <w:p>
            <w:pPr>
              <w:spacing w:line="360" w:lineRule="exact"/>
              <w:ind w:firstLine="6440" w:firstLineChars="2300"/>
              <w:rPr>
                <w:rFonts w:hint="eastAsia" w:ascii="楷体_GB2312" w:hAnsi="Times New Roman" w:eastAsia="楷体_GB2312" w:cs="Times New Roman"/>
                <w:color w:val="000000"/>
                <w:kern w:val="0"/>
                <w:sz w:val="28"/>
                <w:szCs w:val="28"/>
              </w:rPr>
            </w:pPr>
            <w:r>
              <w:rPr>
                <w:rFonts w:hint="eastAsia" w:ascii="楷体_GB2312" w:hAnsi="Times New Roman" w:eastAsia="楷体_GB2312" w:cs="Times New Roman"/>
                <w:color w:val="000000"/>
                <w:kern w:val="0"/>
                <w:sz w:val="28"/>
                <w:szCs w:val="28"/>
              </w:rPr>
              <w:t>宛龙环审〔202</w:t>
            </w:r>
            <w:r>
              <w:rPr>
                <w:rFonts w:hint="eastAsia" w:ascii="楷体_GB2312" w:eastAsia="楷体_GB2312" w:cs="Times New Roman"/>
                <w:color w:val="000000"/>
                <w:kern w:val="0"/>
                <w:sz w:val="28"/>
                <w:szCs w:val="28"/>
                <w:lang w:val="en-US" w:eastAsia="zh-CN"/>
              </w:rPr>
              <w:t>5</w:t>
            </w:r>
            <w:r>
              <w:rPr>
                <w:rFonts w:hint="eastAsia" w:ascii="楷体_GB2312" w:hAnsi="Times New Roman" w:eastAsia="楷体_GB2312" w:cs="Times New Roman"/>
                <w:color w:val="000000"/>
                <w:kern w:val="0"/>
                <w:sz w:val="28"/>
                <w:szCs w:val="28"/>
              </w:rPr>
              <w:t>〕</w:t>
            </w:r>
            <w:r>
              <w:rPr>
                <w:rFonts w:hint="eastAsia" w:ascii="楷体_GB2312" w:eastAsia="楷体_GB2312" w:cs="Times New Roman"/>
                <w:color w:val="000000"/>
                <w:kern w:val="0"/>
                <w:sz w:val="28"/>
                <w:szCs w:val="28"/>
                <w:lang w:val="en-US" w:eastAsia="zh-CN"/>
              </w:rPr>
              <w:t>12</w:t>
            </w:r>
            <w:r>
              <w:rPr>
                <w:rFonts w:hint="eastAsia" w:ascii="楷体_GB2312" w:hAnsi="Times New Roman" w:eastAsia="楷体_GB2312" w:cs="Times New Roman"/>
                <w:color w:val="000000"/>
                <w:kern w:val="0"/>
                <w:sz w:val="28"/>
                <w:szCs w:val="28"/>
              </w:rPr>
              <w:t>号</w:t>
            </w:r>
          </w:p>
          <w:p>
            <w:pPr>
              <w:rPr>
                <w:rFonts w:hint="eastAsia"/>
              </w:rPr>
            </w:pPr>
          </w:p>
          <w:p>
            <w:pPr>
              <w:pStyle w:val="7"/>
              <w:spacing w:line="360" w:lineRule="exact"/>
              <w:jc w:val="center"/>
              <w:rPr>
                <w:rFonts w:hint="eastAsia" w:ascii="宋体" w:hAnsi="宋体" w:eastAsia="宋体" w:cs="Times New Roman"/>
                <w:b/>
                <w:color w:val="000000"/>
                <w:sz w:val="32"/>
                <w:szCs w:val="32"/>
              </w:rPr>
            </w:pPr>
            <w:r>
              <w:rPr>
                <w:rFonts w:hint="eastAsia" w:ascii="宋体" w:hAnsi="宋体" w:eastAsia="宋体" w:cs="Times New Roman"/>
                <w:b/>
                <w:color w:val="000000"/>
                <w:sz w:val="32"/>
                <w:szCs w:val="32"/>
              </w:rPr>
              <w:t>关于</w:t>
            </w:r>
            <w:r>
              <w:rPr>
                <w:rFonts w:hint="eastAsia" w:ascii="宋体" w:hAnsi="宋体" w:cs="Times New Roman"/>
                <w:b/>
                <w:color w:val="000000"/>
                <w:sz w:val="32"/>
                <w:szCs w:val="32"/>
                <w:lang w:eastAsia="zh-CN"/>
              </w:rPr>
              <w:t>南阳公用事业投资发展集团有限公司南阳市废塑料资源化利用项目</w:t>
            </w:r>
            <w:r>
              <w:rPr>
                <w:rFonts w:hint="eastAsia" w:ascii="宋体" w:hAnsi="宋体" w:eastAsia="宋体" w:cs="Times New Roman"/>
                <w:b/>
                <w:color w:val="000000"/>
                <w:sz w:val="32"/>
                <w:szCs w:val="32"/>
                <w:lang w:eastAsia="zh-CN"/>
              </w:rPr>
              <w:t>环境影响报告</w:t>
            </w:r>
            <w:r>
              <w:rPr>
                <w:rFonts w:hint="eastAsia" w:ascii="宋体" w:hAnsi="宋体" w:cs="Times New Roman"/>
                <w:b/>
                <w:color w:val="000000"/>
                <w:sz w:val="32"/>
                <w:szCs w:val="32"/>
                <w:lang w:eastAsia="zh-CN"/>
              </w:rPr>
              <w:t>表</w:t>
            </w:r>
            <w:r>
              <w:rPr>
                <w:rFonts w:hint="eastAsia" w:ascii="宋体" w:hAnsi="宋体" w:eastAsia="宋体" w:cs="Times New Roman"/>
                <w:b/>
                <w:color w:val="000000"/>
                <w:sz w:val="32"/>
                <w:szCs w:val="32"/>
              </w:rPr>
              <w:t>的批复意见</w:t>
            </w:r>
          </w:p>
          <w:p>
            <w:pPr>
              <w:rPr>
                <w:rFonts w:hint="eastAsia"/>
                <w:lang w:val="en-US" w:eastAsia="zh-CN"/>
              </w:rPr>
            </w:pPr>
          </w:p>
          <w:p>
            <w:pPr>
              <w:pStyle w:val="8"/>
              <w:keepNext w:val="0"/>
              <w:keepLines w:val="0"/>
              <w:pageBreakBefore w:val="0"/>
              <w:widowControl/>
              <w:kinsoku/>
              <w:wordWrap/>
              <w:overflowPunct/>
              <w:topLinePunct w:val="0"/>
              <w:autoSpaceDE/>
              <w:autoSpaceDN/>
              <w:bidi w:val="0"/>
              <w:adjustRightInd/>
              <w:snapToGrid/>
              <w:spacing w:line="280" w:lineRule="exact"/>
              <w:ind w:left="0" w:leftChars="0" w:right="0" w:rightChars="0" w:firstLine="556" w:firstLineChars="0"/>
              <w:jc w:val="left"/>
              <w:textAlignment w:val="auto"/>
              <w:outlineLvl w:val="9"/>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根据河南众本环保咨询服务有限公司编制的《南阳公用事业投资发展集团有限公司南阳市废塑料资源化利用项目环境影响报告表》（以下简称《报告表》)，经研究，现对《报告表》提出如下批复意见：</w:t>
            </w:r>
          </w:p>
          <w:p>
            <w:pPr>
              <w:pStyle w:val="8"/>
              <w:keepNext w:val="0"/>
              <w:keepLines w:val="0"/>
              <w:pageBreakBefore w:val="0"/>
              <w:widowControl/>
              <w:kinsoku/>
              <w:wordWrap/>
              <w:overflowPunct/>
              <w:topLinePunct w:val="0"/>
              <w:autoSpaceDE/>
              <w:autoSpaceDN/>
              <w:bidi w:val="0"/>
              <w:adjustRightInd/>
              <w:snapToGrid/>
              <w:spacing w:line="280" w:lineRule="exact"/>
              <w:ind w:left="0" w:leftChars="0" w:right="0" w:rightChars="0" w:firstLine="556" w:firstLineChars="0"/>
              <w:jc w:val="left"/>
              <w:textAlignment w:val="auto"/>
              <w:outlineLvl w:val="9"/>
              <w:rPr>
                <w:rFonts w:hint="eastAsia" w:ascii="楷体" w:hAnsi="楷体" w:eastAsia="楷体" w:cs="楷体"/>
                <w:color w:val="000000"/>
                <w:sz w:val="28"/>
                <w:szCs w:val="28"/>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auto"/>
                <w:kern w:val="0"/>
                <w:sz w:val="28"/>
                <w:szCs w:val="28"/>
                <w:highlight w:val="none"/>
                <w:lang w:val="en-US" w:eastAsia="zh-CN" w:bidi="ar-SA"/>
              </w:rPr>
            </w:pPr>
            <w:r>
              <w:rPr>
                <w:rFonts w:hint="eastAsia" w:ascii="楷体" w:hAnsi="楷体" w:eastAsia="楷体" w:cs="楷体"/>
                <w:color w:val="000000"/>
                <w:kern w:val="0"/>
                <w:sz w:val="28"/>
                <w:szCs w:val="28"/>
                <w:highlight w:val="none"/>
                <w:lang w:val="en-US" w:eastAsia="zh-CN" w:bidi="ar-SA"/>
              </w:rPr>
              <w:t>一、</w:t>
            </w:r>
            <w:r>
              <w:rPr>
                <w:rFonts w:hint="eastAsia" w:ascii="楷体" w:hAnsi="楷体" w:eastAsia="楷体" w:cs="楷体"/>
                <w:color w:val="auto"/>
                <w:kern w:val="0"/>
                <w:sz w:val="28"/>
                <w:szCs w:val="28"/>
                <w:highlight w:val="none"/>
                <w:lang w:val="en-US" w:eastAsia="zh-CN" w:bidi="ar-SA"/>
              </w:rPr>
              <w:t>原则批准该项目《报告表》，建设单位可据此落实环保工程。</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auto"/>
                <w:kern w:val="0"/>
                <w:sz w:val="28"/>
                <w:szCs w:val="28"/>
                <w:highlight w:val="none"/>
                <w:lang w:val="en-US" w:eastAsia="zh-CN" w:bidi="ar-SA"/>
              </w:rPr>
            </w:pPr>
            <w:r>
              <w:rPr>
                <w:rFonts w:hint="eastAsia" w:ascii="楷体" w:hAnsi="楷体" w:eastAsia="楷体" w:cs="楷体"/>
                <w:color w:val="auto"/>
                <w:kern w:val="0"/>
                <w:sz w:val="28"/>
                <w:szCs w:val="28"/>
                <w:highlight w:val="none"/>
                <w:lang w:val="en-US" w:eastAsia="zh-CN" w:bidi="ar-SA"/>
              </w:rPr>
              <w:t>二、严格落实大气污染防治措施，确保各类废气污染物达标排放，确保对周边环境的影响在可接受范围之内。建设项目颗粒物排放满足《大气污染物综合排放标准》（GB16297-1996）、《河南省重污染天气通用行业应急减排措施制定技术指南》（2024年修订稿）涉PM企业引领性指标要求；非甲烷总烃排放满足《合成树脂工业污染物排放标准》（GB 31572-2015）、《关于全省开展工业企业挥发性有机物专项治理工作中排放建议值的通知》（豫环攻坚办[2017]162号）中“其他行业”标准及《河南省重污染天气通用行业应急减排措施制定技术指南》（2024年修订稿）涉VOCs企业引领性指标要求；恶臭污染物排放满足《恶臭污染物排放标准》（GB14554-93）要求。</w:t>
            </w:r>
            <w:r>
              <w:rPr>
                <w:rFonts w:hint="eastAsia" w:ascii="楷体" w:hAnsi="楷体" w:eastAsia="楷体" w:cs="楷体"/>
                <w:color w:val="000000"/>
                <w:kern w:val="0"/>
                <w:sz w:val="28"/>
                <w:szCs w:val="28"/>
                <w:highlight w:val="none"/>
                <w:lang w:val="en-US" w:eastAsia="zh-CN" w:bidi="ar-SA"/>
              </w:rPr>
              <w:t>严格执行《报告表》提出的项目防护距离相关要求。</w:t>
            </w:r>
          </w:p>
          <w:p>
            <w:pPr>
              <w:keepNext w:val="0"/>
              <w:keepLines w:val="0"/>
              <w:pageBreakBefore w:val="0"/>
              <w:widowControl/>
              <w:kinsoku/>
              <w:wordWrap w:val="0"/>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000000"/>
                <w:kern w:val="0"/>
                <w:sz w:val="28"/>
                <w:szCs w:val="28"/>
                <w:highlight w:val="none"/>
                <w:lang w:val="en-US" w:eastAsia="zh-CN" w:bidi="ar-SA"/>
              </w:rPr>
            </w:pPr>
            <w:r>
              <w:rPr>
                <w:rFonts w:hint="eastAsia" w:ascii="楷体" w:hAnsi="楷体" w:eastAsia="楷体" w:cs="楷体"/>
                <w:color w:val="000000"/>
                <w:kern w:val="0"/>
                <w:sz w:val="28"/>
                <w:szCs w:val="28"/>
                <w:highlight w:val="none"/>
                <w:lang w:val="en-US" w:eastAsia="zh-CN" w:bidi="ar-SA"/>
              </w:rPr>
              <w:t>三、项目生产废水循环使用不外排，再生用水满足《城市污水再生利用工业用水水质》（GB/T19923-2024）要求；生活污水经化粪池处理后排入市政管网，污水排放满足南阳市污水净化中心收水标准。</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0000FF"/>
                <w:kern w:val="0"/>
                <w:sz w:val="28"/>
                <w:szCs w:val="28"/>
                <w:highlight w:val="none"/>
                <w:lang w:val="en-US" w:eastAsia="zh-CN" w:bidi="ar-SA"/>
              </w:rPr>
            </w:pPr>
            <w:r>
              <w:rPr>
                <w:rFonts w:hint="eastAsia" w:ascii="楷体" w:hAnsi="楷体" w:eastAsia="楷体" w:cs="楷体"/>
                <w:color w:val="000000"/>
                <w:kern w:val="0"/>
                <w:sz w:val="28"/>
                <w:szCs w:val="28"/>
                <w:highlight w:val="none"/>
                <w:lang w:val="en-US" w:eastAsia="zh-CN" w:bidi="ar-SA"/>
              </w:rPr>
              <w:t>四、</w:t>
            </w:r>
            <w:r>
              <w:rPr>
                <w:rFonts w:hint="eastAsia" w:ascii="楷体" w:hAnsi="楷体" w:eastAsia="楷体" w:cs="楷体"/>
                <w:color w:val="auto"/>
                <w:kern w:val="0"/>
                <w:sz w:val="28"/>
                <w:szCs w:val="28"/>
                <w:highlight w:val="none"/>
                <w:lang w:val="en-US" w:eastAsia="zh-CN" w:bidi="ar-SA"/>
              </w:rPr>
              <w:t>严格落实噪声污染防治措施。施工期各阶段噪声满足《建筑施工厂界环境噪声排放标准》（GB12523-2011）；营运期厂界噪声满足《工业企业厂界环境噪声排放标准》（GB12348-2008）3类标准要求。</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default" w:ascii="楷体_GB2312" w:hAnsi="Times New Roman" w:eastAsia="楷体_GB2312" w:cs="Times New Roman"/>
                <w:color w:val="000000"/>
                <w:kern w:val="0"/>
                <w:sz w:val="28"/>
                <w:szCs w:val="28"/>
                <w:highlight w:val="none"/>
                <w:lang w:val="en-US" w:eastAsia="zh-CN" w:bidi="ar-SA"/>
              </w:rPr>
            </w:pPr>
            <w:r>
              <w:rPr>
                <w:rFonts w:hint="eastAsia" w:ascii="楷体_GB2312" w:hAnsi="Times New Roman" w:eastAsia="楷体_GB2312" w:cs="Times New Roman"/>
                <w:color w:val="000000"/>
                <w:kern w:val="0"/>
                <w:sz w:val="28"/>
                <w:szCs w:val="28"/>
                <w:highlight w:val="none"/>
                <w:lang w:val="en-US" w:eastAsia="zh-CN" w:bidi="ar-SA"/>
              </w:rPr>
              <w:t>五、</w:t>
            </w:r>
            <w:r>
              <w:rPr>
                <w:rFonts w:hint="default" w:ascii="楷体_GB2312" w:hAnsi="Times New Roman" w:eastAsia="楷体_GB2312" w:cs="Times New Roman"/>
                <w:color w:val="000000"/>
                <w:kern w:val="0"/>
                <w:sz w:val="28"/>
                <w:szCs w:val="28"/>
                <w:highlight w:val="none"/>
                <w:lang w:val="en-US" w:eastAsia="zh-CN" w:bidi="ar-SA"/>
              </w:rPr>
              <w:t>严格落实固体废物污染防治措施，项目产生的固体废物要全部依法依规进行收集、贮存、转运和无害化处置。一般固废贮存、处置须满足《一般工业固体废物贮存</w:t>
            </w:r>
            <w:r>
              <w:rPr>
                <w:rFonts w:hint="eastAsia" w:ascii="楷体_GB2312" w:hAnsi="Times New Roman" w:eastAsia="楷体_GB2312" w:cs="Times New Roman"/>
                <w:color w:val="000000"/>
                <w:kern w:val="0"/>
                <w:sz w:val="28"/>
                <w:szCs w:val="28"/>
                <w:highlight w:val="none"/>
                <w:lang w:val="en-US" w:eastAsia="zh-CN" w:bidi="ar-SA"/>
              </w:rPr>
              <w:t>和填埋污染控制标准</w:t>
            </w:r>
            <w:r>
              <w:rPr>
                <w:rFonts w:hint="default" w:ascii="楷体_GB2312" w:hAnsi="Times New Roman" w:eastAsia="楷体_GB2312" w:cs="Times New Roman"/>
                <w:color w:val="000000"/>
                <w:kern w:val="0"/>
                <w:sz w:val="28"/>
                <w:szCs w:val="28"/>
                <w:highlight w:val="none"/>
                <w:lang w:val="en-US" w:eastAsia="zh-CN" w:bidi="ar-SA"/>
              </w:rPr>
              <w:t>》（GB18599－20</w:t>
            </w:r>
            <w:r>
              <w:rPr>
                <w:rFonts w:hint="eastAsia" w:ascii="楷体_GB2312" w:hAnsi="Times New Roman" w:eastAsia="楷体_GB2312" w:cs="Times New Roman"/>
                <w:color w:val="000000"/>
                <w:kern w:val="0"/>
                <w:sz w:val="28"/>
                <w:szCs w:val="28"/>
                <w:highlight w:val="none"/>
                <w:lang w:val="en-US" w:eastAsia="zh-CN" w:bidi="ar-SA"/>
              </w:rPr>
              <w:t>20</w:t>
            </w:r>
            <w:r>
              <w:rPr>
                <w:rFonts w:hint="default" w:ascii="楷体_GB2312" w:hAnsi="Times New Roman" w:eastAsia="楷体_GB2312" w:cs="Times New Roman"/>
                <w:color w:val="000000"/>
                <w:kern w:val="0"/>
                <w:sz w:val="28"/>
                <w:szCs w:val="28"/>
                <w:highlight w:val="none"/>
                <w:lang w:val="en-US" w:eastAsia="zh-CN" w:bidi="ar-SA"/>
              </w:rPr>
              <w:t>）中相关要求。危险废物贮存要满足《危险废物贮存污染控制标准》（GB18597-2023）中相关要求，并依法依规交送有资质的单位进行处置。</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60" w:firstLineChars="200"/>
              <w:jc w:val="left"/>
              <w:textAlignment w:val="auto"/>
              <w:outlineLvl w:val="9"/>
              <w:rPr>
                <w:rFonts w:hint="eastAsia" w:ascii="楷体_GB2312" w:hAnsi="Times New Roman" w:eastAsia="楷体_GB2312" w:cs="Times New Roman"/>
                <w:color w:val="000000"/>
                <w:kern w:val="0"/>
                <w:sz w:val="28"/>
                <w:szCs w:val="28"/>
                <w:highlight w:val="none"/>
                <w:lang w:val="en-US" w:eastAsia="zh-CN" w:bidi="ar-SA"/>
              </w:rPr>
            </w:pPr>
            <w:r>
              <w:rPr>
                <w:rFonts w:hint="eastAsia" w:ascii="楷体_GB2312" w:hAnsi="Times New Roman" w:eastAsia="楷体_GB2312" w:cs="Times New Roman"/>
                <w:color w:val="000000"/>
                <w:kern w:val="0"/>
                <w:sz w:val="28"/>
                <w:szCs w:val="28"/>
                <w:highlight w:val="none"/>
                <w:lang w:val="en-US" w:eastAsia="zh-CN" w:bidi="ar-SA"/>
              </w:rPr>
              <w:t>六、本项目环评文件审批后，项目的性质、规模、地点、采用的生产工艺或者防止污染、防止生态破坏的措施发生重大变动的，应当重新报批项目的环境影响评价文件；项目审批五年后方开工建设的，应重新报批该项目的环境影响评价文件。</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default" w:ascii="楷体_GB2312" w:hAnsi="Times New Roman" w:eastAsia="楷体_GB2312" w:cs="Times New Roman"/>
                <w:color w:val="000000"/>
                <w:kern w:val="0"/>
                <w:sz w:val="28"/>
                <w:szCs w:val="28"/>
                <w:lang w:val="en-US" w:eastAsia="zh-CN" w:bidi="ar-SA"/>
              </w:rPr>
            </w:pPr>
            <w:r>
              <w:rPr>
                <w:rFonts w:hint="eastAsia" w:ascii="楷体_GB2312" w:hAnsi="Times New Roman" w:eastAsia="楷体_GB2312" w:cs="Times New Roman"/>
                <w:color w:val="000000"/>
                <w:kern w:val="0"/>
                <w:sz w:val="28"/>
                <w:szCs w:val="28"/>
                <w:lang w:val="en-US" w:eastAsia="zh-CN" w:bidi="ar-SA"/>
              </w:rPr>
              <w:t>七、</w:t>
            </w:r>
            <w:r>
              <w:rPr>
                <w:rFonts w:hint="default" w:ascii="楷体_GB2312" w:hAnsi="Times New Roman" w:eastAsia="楷体_GB2312" w:cs="Times New Roman"/>
                <w:color w:val="000000"/>
                <w:kern w:val="0"/>
                <w:sz w:val="28"/>
                <w:szCs w:val="28"/>
                <w:lang w:val="en-US" w:eastAsia="zh-CN" w:bidi="ar-SA"/>
              </w:rPr>
              <w:t>项目建设和运行过程中须依法依规执行环保“三同时”、排污许可、竣工环保验收等各项环境管理制度。</w:t>
            </w:r>
          </w:p>
          <w:p>
            <w:pPr>
              <w:rPr>
                <w:rFonts w:hint="default"/>
                <w:lang w:val="en-US" w:eastAsia="zh-CN"/>
              </w:rPr>
            </w:pPr>
            <w:r>
              <w:rPr>
                <w:rFonts w:hint="eastAsia"/>
                <w:lang w:val="en-US" w:eastAsia="zh-CN"/>
              </w:rPr>
              <w:t xml:space="preserve">   </w:t>
            </w:r>
          </w:p>
          <w:p>
            <w:pPr>
              <w:pStyle w:val="8"/>
              <w:keepNext w:val="0"/>
              <w:keepLines w:val="0"/>
              <w:pageBreakBefore w:val="0"/>
              <w:widowControl/>
              <w:numPr>
                <w:ilvl w:val="0"/>
                <w:numId w:val="0"/>
              </w:numPr>
              <w:kinsoku/>
              <w:wordWrap/>
              <w:overflowPunct/>
              <w:topLinePunct w:val="0"/>
              <w:autoSpaceDE/>
              <w:autoSpaceDN/>
              <w:bidi w:val="0"/>
              <w:adjustRightInd/>
              <w:snapToGrid/>
              <w:spacing w:line="280" w:lineRule="exact"/>
              <w:ind w:left="556" w:leftChars="0" w:right="0" w:rightChars="0" w:firstLine="3080" w:firstLineChars="1100"/>
              <w:jc w:val="left"/>
              <w:textAlignment w:val="auto"/>
              <w:outlineLvl w:val="9"/>
              <w:rPr>
                <w:rFonts w:hint="eastAsia" w:ascii="楷体_GB2312" w:hAnsi="Times New Roman" w:eastAsia="楷体_GB2312" w:cs="Times New Roman"/>
                <w:color w:val="000000"/>
                <w:sz w:val="28"/>
                <w:szCs w:val="28"/>
                <w:lang w:val="en-US" w:eastAsia="zh-CN"/>
              </w:rPr>
            </w:pPr>
            <w:bookmarkStart w:id="0" w:name="_GoBack"/>
            <w:bookmarkEnd w:id="0"/>
            <w:r>
              <w:rPr>
                <w:rFonts w:hint="eastAsia" w:ascii="楷体_GB2312" w:hAnsi="Times New Roman" w:eastAsia="楷体_GB2312" w:cs="Times New Roman"/>
                <w:color w:val="000000"/>
                <w:sz w:val="28"/>
                <w:szCs w:val="28"/>
                <w:lang w:val="en-US" w:eastAsia="zh-CN"/>
              </w:rPr>
              <w:t xml:space="preserve">                          </w:t>
            </w:r>
            <w:r>
              <w:rPr>
                <w:rFonts w:hint="eastAsia" w:ascii="楷体_GB2312" w:eastAsia="楷体_GB2312" w:cs="Times New Roman"/>
                <w:color w:val="000000"/>
                <w:sz w:val="28"/>
                <w:szCs w:val="28"/>
                <w:lang w:val="en-US" w:eastAsia="zh-CN"/>
              </w:rPr>
              <w:t xml:space="preserve"> </w:t>
            </w:r>
            <w:r>
              <w:rPr>
                <w:rFonts w:hint="eastAsia" w:ascii="楷体_GB2312" w:hAnsi="Times New Roman" w:eastAsia="楷体_GB2312" w:cs="Times New Roman"/>
                <w:color w:val="000000"/>
                <w:sz w:val="28"/>
                <w:szCs w:val="28"/>
                <w:lang w:val="en-US" w:eastAsia="zh-CN"/>
              </w:rPr>
              <w:t>（公  章）</w:t>
            </w:r>
            <w:r>
              <w:rPr>
                <w:rFonts w:hint="eastAsia" w:ascii="楷体_GB2312" w:eastAsia="楷体_GB2312" w:cs="Times New Roman"/>
                <w:color w:val="000000"/>
                <w:sz w:val="28"/>
                <w:szCs w:val="28"/>
                <w:lang w:val="en-US" w:eastAsia="zh-CN"/>
              </w:rPr>
              <w:t xml:space="preserve"> </w:t>
            </w:r>
            <w:r>
              <w:rPr>
                <w:rFonts w:hint="eastAsia" w:ascii="楷体_GB2312" w:hAnsi="Times New Roman" w:eastAsia="楷体_GB2312" w:cs="Times New Roman"/>
                <w:color w:val="000000"/>
                <w:sz w:val="28"/>
                <w:szCs w:val="28"/>
                <w:lang w:val="en-US" w:eastAsia="zh-CN"/>
              </w:rPr>
              <w:t xml:space="preserve"> </w:t>
            </w:r>
          </w:p>
          <w:p>
            <w:pPr>
              <w:pStyle w:val="8"/>
              <w:keepNext w:val="0"/>
              <w:keepLines w:val="0"/>
              <w:pageBreakBefore w:val="0"/>
              <w:widowControl/>
              <w:numPr>
                <w:ilvl w:val="0"/>
                <w:numId w:val="0"/>
              </w:numPr>
              <w:kinsoku/>
              <w:wordWrap/>
              <w:overflowPunct/>
              <w:topLinePunct w:val="0"/>
              <w:autoSpaceDE/>
              <w:autoSpaceDN/>
              <w:bidi w:val="0"/>
              <w:adjustRightInd/>
              <w:snapToGrid/>
              <w:spacing w:line="280" w:lineRule="exact"/>
              <w:ind w:left="556" w:leftChars="0" w:right="0" w:rightChars="0" w:firstLine="3080" w:firstLineChars="1100"/>
              <w:jc w:val="left"/>
              <w:textAlignment w:val="auto"/>
              <w:outlineLvl w:val="9"/>
              <w:rPr>
                <w:rFonts w:hint="eastAsia" w:ascii="楷体_GB2312" w:hAnsi="Times New Roman" w:eastAsia="楷体_GB2312" w:cs="Times New Roman"/>
                <w:color w:val="auto"/>
                <w:sz w:val="28"/>
                <w:szCs w:val="28"/>
                <w:highlight w:val="none"/>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line="280" w:lineRule="exact"/>
              <w:ind w:left="556" w:leftChars="0" w:right="0" w:rightChars="0" w:firstLine="3080" w:firstLineChars="1100"/>
              <w:jc w:val="left"/>
              <w:textAlignment w:val="auto"/>
              <w:outlineLvl w:val="9"/>
              <w:rPr>
                <w:rFonts w:hint="eastAsia" w:ascii="楷体_GB2312" w:hAnsi="Times New Roman" w:eastAsia="楷体_GB2312" w:cs="Times New Roman"/>
                <w:color w:val="auto"/>
                <w:sz w:val="28"/>
                <w:szCs w:val="28"/>
                <w:highlight w:val="none"/>
                <w:shd w:val="clear"/>
                <w:lang w:val="en-US" w:eastAsia="zh-CN"/>
              </w:rPr>
            </w:pPr>
            <w:r>
              <w:rPr>
                <w:rFonts w:hint="eastAsia" w:ascii="楷体_GB2312" w:hAnsi="Times New Roman" w:eastAsia="楷体_GB2312" w:cs="Times New Roman"/>
                <w:color w:val="auto"/>
                <w:sz w:val="28"/>
                <w:szCs w:val="28"/>
                <w:highlight w:val="none"/>
                <w:lang w:val="en-US" w:eastAsia="zh-CN"/>
              </w:rPr>
              <w:t xml:space="preserve">                         202</w:t>
            </w:r>
            <w:r>
              <w:rPr>
                <w:rFonts w:hint="eastAsia" w:ascii="楷体_GB2312" w:eastAsia="楷体_GB2312" w:cs="Times New Roman"/>
                <w:color w:val="auto"/>
                <w:sz w:val="28"/>
                <w:szCs w:val="28"/>
                <w:highlight w:val="none"/>
                <w:lang w:val="en-US" w:eastAsia="zh-CN"/>
              </w:rPr>
              <w:t>5</w:t>
            </w:r>
            <w:r>
              <w:rPr>
                <w:rFonts w:hint="eastAsia" w:ascii="楷体_GB2312" w:hAnsi="Times New Roman" w:eastAsia="楷体_GB2312" w:cs="Times New Roman"/>
                <w:color w:val="auto"/>
                <w:sz w:val="28"/>
                <w:szCs w:val="28"/>
                <w:highlight w:val="none"/>
                <w:lang w:val="en-US" w:eastAsia="zh-CN"/>
              </w:rPr>
              <w:t>年</w:t>
            </w:r>
            <w:r>
              <w:rPr>
                <w:rFonts w:hint="eastAsia" w:ascii="楷体_GB2312" w:eastAsia="楷体_GB2312" w:cs="Times New Roman"/>
                <w:color w:val="auto"/>
                <w:sz w:val="28"/>
                <w:szCs w:val="28"/>
                <w:highlight w:val="none"/>
                <w:lang w:val="en-US" w:eastAsia="zh-CN"/>
              </w:rPr>
              <w:t>7</w:t>
            </w:r>
            <w:r>
              <w:rPr>
                <w:rFonts w:hint="eastAsia" w:ascii="楷体_GB2312" w:hAnsi="Times New Roman" w:eastAsia="楷体_GB2312" w:cs="Times New Roman"/>
                <w:color w:val="auto"/>
                <w:sz w:val="28"/>
                <w:szCs w:val="28"/>
                <w:highlight w:val="none"/>
                <w:lang w:val="en-US" w:eastAsia="zh-CN"/>
              </w:rPr>
              <w:t>月</w:t>
            </w:r>
            <w:r>
              <w:rPr>
                <w:rFonts w:hint="eastAsia" w:ascii="楷体_GB2312" w:eastAsia="楷体_GB2312" w:cs="Times New Roman"/>
                <w:color w:val="auto"/>
                <w:sz w:val="28"/>
                <w:szCs w:val="28"/>
                <w:highlight w:val="none"/>
                <w:lang w:val="en-US" w:eastAsia="zh-CN"/>
              </w:rPr>
              <w:t>8</w:t>
            </w:r>
            <w:r>
              <w:rPr>
                <w:rFonts w:hint="eastAsia" w:ascii="楷体_GB2312" w:hAnsi="Times New Roman" w:eastAsia="楷体_GB2312" w:cs="Times New Roman"/>
                <w:color w:val="auto"/>
                <w:sz w:val="28"/>
                <w:szCs w:val="28"/>
                <w:highlight w:val="none"/>
                <w:lang w:val="en-US" w:eastAsia="zh-CN"/>
              </w:rPr>
              <w:t>日</w:t>
            </w:r>
          </w:p>
          <w:p>
            <w:pPr>
              <w:rPr>
                <w:rFonts w:hint="eastAsia"/>
              </w:rPr>
            </w:pPr>
          </w:p>
        </w:tc>
      </w:tr>
    </w:tbl>
    <w:p/>
    <w:sectPr>
      <w:pgSz w:w="11906" w:h="16838"/>
      <w:pgMar w:top="1287" w:right="720" w:bottom="720" w:left="12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5302F"/>
    <w:rsid w:val="00C43AA3"/>
    <w:rsid w:val="020A25C5"/>
    <w:rsid w:val="023B3877"/>
    <w:rsid w:val="02525BC3"/>
    <w:rsid w:val="02A71194"/>
    <w:rsid w:val="031E6B46"/>
    <w:rsid w:val="04010AAB"/>
    <w:rsid w:val="054D6435"/>
    <w:rsid w:val="070B64B1"/>
    <w:rsid w:val="0B0C17C6"/>
    <w:rsid w:val="0F15111F"/>
    <w:rsid w:val="1135302F"/>
    <w:rsid w:val="11601C38"/>
    <w:rsid w:val="13D20DBF"/>
    <w:rsid w:val="155511AA"/>
    <w:rsid w:val="18D10954"/>
    <w:rsid w:val="19530A09"/>
    <w:rsid w:val="1D173611"/>
    <w:rsid w:val="1E147E5E"/>
    <w:rsid w:val="211F34E2"/>
    <w:rsid w:val="214503DB"/>
    <w:rsid w:val="222323E7"/>
    <w:rsid w:val="24E9401B"/>
    <w:rsid w:val="29EE2076"/>
    <w:rsid w:val="2A3D5D39"/>
    <w:rsid w:val="2BC8310F"/>
    <w:rsid w:val="2C640E09"/>
    <w:rsid w:val="3132147A"/>
    <w:rsid w:val="319365BA"/>
    <w:rsid w:val="31C756C5"/>
    <w:rsid w:val="3259581B"/>
    <w:rsid w:val="33E13F44"/>
    <w:rsid w:val="34B57B10"/>
    <w:rsid w:val="36E27362"/>
    <w:rsid w:val="3D17631C"/>
    <w:rsid w:val="3D9974C4"/>
    <w:rsid w:val="3E6278AD"/>
    <w:rsid w:val="3FC17147"/>
    <w:rsid w:val="41BF7B73"/>
    <w:rsid w:val="43544FA2"/>
    <w:rsid w:val="4CAD1F1D"/>
    <w:rsid w:val="4E3C13BF"/>
    <w:rsid w:val="4EAF205C"/>
    <w:rsid w:val="53974A6D"/>
    <w:rsid w:val="57CC10AA"/>
    <w:rsid w:val="5D026E4B"/>
    <w:rsid w:val="5D8C06C5"/>
    <w:rsid w:val="5E181B6A"/>
    <w:rsid w:val="5EB07CB7"/>
    <w:rsid w:val="5F7018CE"/>
    <w:rsid w:val="63184C31"/>
    <w:rsid w:val="632149C6"/>
    <w:rsid w:val="632C2156"/>
    <w:rsid w:val="65C56499"/>
    <w:rsid w:val="66AE3312"/>
    <w:rsid w:val="66FD57E1"/>
    <w:rsid w:val="6C25707F"/>
    <w:rsid w:val="6DCA7DEC"/>
    <w:rsid w:val="72D333F3"/>
    <w:rsid w:val="76A36EC4"/>
    <w:rsid w:val="776B1CED"/>
    <w:rsid w:val="79597850"/>
    <w:rsid w:val="7EE42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basedOn w:val="1"/>
    <w:qFormat/>
    <w:uiPriority w:val="0"/>
    <w:pPr>
      <w:adjustRightInd w:val="0"/>
      <w:jc w:val="left"/>
    </w:pPr>
    <w:rPr>
      <w:rFonts w:ascii="宋体" w:hAnsi="Courier New"/>
      <w:sz w:val="24"/>
      <w:szCs w:val="20"/>
    </w:rPr>
  </w:style>
  <w:style w:type="paragraph" w:customStyle="1" w:styleId="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7">
    <w:name w:val="p0"/>
    <w:basedOn w:val="1"/>
    <w:qFormat/>
    <w:uiPriority w:val="0"/>
    <w:pPr>
      <w:widowControl/>
      <w:jc w:val="left"/>
    </w:pPr>
    <w:rPr>
      <w:kern w:val="0"/>
      <w:szCs w:val="21"/>
    </w:rPr>
  </w:style>
  <w:style w:type="paragraph" w:customStyle="1" w:styleId="8">
    <w:name w:val="p15"/>
    <w:basedOn w:val="1"/>
    <w:qFormat/>
    <w:uiPriority w:val="0"/>
    <w:pPr>
      <w:widowControl/>
      <w:jc w:val="left"/>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2023-11-13T07:37:00Z</dcterms:created>
  <dc:creator>未定义</dc:creator>
  <cp:lastModifiedBy>未定义</cp:lastModifiedBy>
  <cp:lastPrinted>2025-04-16T05:23:00Z</cp:lastPrinted>
  <dcterms:modified xsi:type="dcterms:W3CDTF">2025-07-01T06:09:55Z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B0D64E145F0C40A0A7C42B66C20D39EB</vt:lpwstr>
  </property>
</Properties>
</file>